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by</w:t>
      </w:r>
      <w:proofErr w:type="gramEnd"/>
      <w:r>
        <w:rPr>
          <w:rFonts w:ascii="Times New Roman" w:hAnsi="Times New Roman"/>
          <w:color w:val="000000"/>
          <w:sz w:val="24"/>
        </w:rPr>
        <w:t xml:space="preserve"> the Implementation and Monitoring Commission of the National Research Programme </w:t>
      </w:r>
    </w:p>
    <w:p w14:paraId="24AE5DCC" w14:textId="1765246A"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bookmarkStart w:id="0" w:name="_Hlk143154269"/>
      <w:r>
        <w:rPr>
          <w:rFonts w:ascii="Times New Roman" w:hAnsi="Times New Roman"/>
          <w:color w:val="000000"/>
          <w:sz w:val="24"/>
        </w:rPr>
        <w:t>Research and Sustainable Use of Local Resources for the Development of Latvia 2023-2025”</w:t>
      </w:r>
      <w:bookmarkEnd w:id="0"/>
      <w:r>
        <w:rPr>
          <w:rFonts w:ascii="Times New Roman" w:hAnsi="Times New Roman"/>
          <w:color w:val="000000"/>
          <w:sz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534A03E7" w14:textId="73B9B643" w:rsidR="00254586" w:rsidRPr="00EE1FDA"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w:t>
      </w:r>
      <w:proofErr w:type="gramStart"/>
      <w:r>
        <w:rPr>
          <w:rFonts w:ascii="Times New Roman" w:hAnsi="Times New Roman"/>
          <w:color w:val="000000"/>
          <w:sz w:val="24"/>
        </w:rPr>
        <w:t>established</w:t>
      </w:r>
      <w:proofErr w:type="gramEnd"/>
      <w:r>
        <w:rPr>
          <w:rFonts w:ascii="Times New Roman" w:hAnsi="Times New Roman"/>
          <w:color w:val="000000"/>
          <w:sz w:val="24"/>
        </w:rPr>
        <w:t xml:space="preserve"> by Order No. 101</w:t>
      </w:r>
      <w:r>
        <w:rPr>
          <w:rFonts w:ascii="Times New Roman" w:hAnsi="Times New Roman"/>
          <w:sz w:val="24"/>
        </w:rPr>
        <w:t>of 21 August 2023 of</w:t>
      </w:r>
      <w:r w:rsidR="00CC0F92">
        <w:rPr>
          <w:rFonts w:ascii="Times New Roman" w:hAnsi="Times New Roman"/>
          <w:sz w:val="24"/>
        </w:rPr>
        <w:t xml:space="preserve"> </w:t>
      </w:r>
      <w:r>
        <w:rPr>
          <w:rFonts w:ascii="Times New Roman" w:hAnsi="Times New Roman"/>
          <w:color w:val="000000"/>
          <w:sz w:val="24"/>
        </w:rPr>
        <w:t>the Minister for Agriculture</w:t>
      </w:r>
    </w:p>
    <w:p w14:paraId="4C8B03FA" w14:textId="58D904F5"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254A75D2"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 xml:space="preserve">By-laws of the open call for project applications of the </w:t>
      </w:r>
      <w:r w:rsidR="00CC0F92">
        <w:rPr>
          <w:rFonts w:ascii="Times New Roman" w:hAnsi="Times New Roman"/>
          <w:b/>
          <w:color w:val="000000"/>
          <w:sz w:val="24"/>
        </w:rPr>
        <w:t>National Research Programme</w:t>
      </w:r>
      <w:r>
        <w:rPr>
          <w:rFonts w:ascii="Times New Roman" w:hAnsi="Times New Roman"/>
          <w:b/>
          <w:color w:val="000000"/>
          <w:sz w:val="24"/>
        </w:rPr>
        <w:t xml:space="preserv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Research and Sustainable Use of Local Resources for the Development of Latvia 2023-2025”</w:t>
          </w:r>
        </w:sdtContent>
      </w:sdt>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Matters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346EE16A" w:rsidR="00254586" w:rsidRPr="00FC009C" w:rsidRDefault="00254586" w:rsidP="00B45EBC">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1 By-laws of the open call for project applications (hereinafter – the By-laws) of the National Research Programme “</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Pr>
              <w:rFonts w:ascii="Times New Roman" w:hAnsi="Times New Roman"/>
              <w:sz w:val="24"/>
            </w:rPr>
            <w:t>Research and Sustainable Use of Local Resources for the Development of Latvia 2023-2025</w:t>
          </w:r>
        </w:sdtContent>
      </w:sdt>
      <w:bookmarkEnd w:id="1"/>
      <w:r>
        <w:rPr>
          <w:rFonts w:ascii="Times New Roman" w:hAnsi="Times New Roman"/>
          <w:sz w:val="24"/>
        </w:rPr>
        <w:t>” lay down the procedure for the organisation and implementation of the open call (hereinafter – the Tender) for project applications (hereinafter – the project applications) of  the National Research Programme “</w:t>
      </w:r>
      <w:sdt>
        <w:sdtPr>
          <w:rPr>
            <w:rFonts w:ascii="Times New Roman" w:hAnsi="Times New Roman" w:cs="Times New Roman"/>
            <w:sz w:val="24"/>
            <w:szCs w:val="24"/>
          </w:rPr>
          <w:id w:val="-783874291"/>
          <w:placeholder>
            <w:docPart w:val="19E55A0B746548608073908A4E8C04B2"/>
          </w:placeholder>
        </w:sdtPr>
        <w:sdtEndPr/>
        <w:sdtContent>
          <w:r>
            <w:rPr>
              <w:rFonts w:ascii="Times New Roman" w:hAnsi="Times New Roman"/>
              <w:sz w:val="24"/>
            </w:rPr>
            <w:t>Research and Sustainable Use of Local Resources for the Development of Latvia 2023-2025</w:t>
          </w:r>
        </w:sdtContent>
      </w:sdt>
      <w:r>
        <w:rPr>
          <w:rFonts w:ascii="Times New Roman" w:hAnsi="Times New Roman"/>
          <w:sz w:val="24"/>
        </w:rPr>
        <w:t>” (hereinafter – the Programme), on the basis of the Cabinet Regulation No. 560 of 4 September 2018, Procedures for the Implementation of National Research Programme Projects (hereinafter – the Regulation) and in compliance with the Cabinet Regulation No. 502 of 9 August 2023, On the National Research Programme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Pr>
              <w:rFonts w:ascii="Times New Roman" w:hAnsi="Times New Roman"/>
              <w:sz w:val="24"/>
            </w:rPr>
            <w:t>Research and Sustainable Use of Local Resources for the Development of Latvia 2023-2025</w:t>
          </w:r>
        </w:sdtContent>
      </w:sdt>
      <w:bookmarkEnd w:id="2"/>
      <w:r>
        <w:rPr>
          <w:rFonts w:ascii="Times New Roman" w:hAnsi="Times New Roman"/>
          <w:sz w:val="24"/>
        </w:rPr>
        <w:t>” (hereinafter – the Cabinet Order).</w:t>
      </w:r>
      <w:proofErr w:type="gramEnd"/>
      <w:r>
        <w:rPr>
          <w:rFonts w:ascii="Times New Roman" w:hAnsi="Times New Roman"/>
          <w:sz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 These By-laws have been prepared </w:t>
      </w:r>
      <w:proofErr w:type="gramStart"/>
      <w:r>
        <w:rPr>
          <w:rFonts w:ascii="Times New Roman" w:hAnsi="Times New Roman"/>
          <w:sz w:val="24"/>
        </w:rPr>
        <w:t>on the basis of</w:t>
      </w:r>
      <w:proofErr w:type="gramEnd"/>
      <w:r>
        <w:rPr>
          <w:rFonts w:ascii="Times New Roman" w:hAnsi="Times New Roman"/>
          <w:sz w:val="24"/>
        </w:rPr>
        <w:t xml:space="preserve"> Paragraph 16 of the Cabinet</w:t>
      </w:r>
      <w:r>
        <w:rPr>
          <w:rFonts w:ascii="Times New Roman" w:hAnsi="Times New Roman"/>
          <w:sz w:val="24"/>
          <w:shd w:val="clear" w:color="auto" w:fill="FFFFFF"/>
        </w:rPr>
        <w:t> </w:t>
      </w:r>
      <w:r>
        <w:rPr>
          <w:rFonts w:ascii="Times New Roman" w:hAnsi="Times New Roman"/>
          <w:sz w:val="24"/>
        </w:rPr>
        <w:t>Regulation.</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46D0E21C" w:rsidR="003A0F32" w:rsidRPr="00873793" w:rsidRDefault="00254586"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State budget funding available for the Tender under the Programme is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 xml:space="preserve">EUR 5 </w:t>
          </w:r>
          <w:bookmarkStart w:id="3" w:name="_GoBack"/>
          <w:bookmarkEnd w:id="3"/>
          <w:r>
            <w:rPr>
              <w:rFonts w:ascii="Times New Roman" w:hAnsi="Times New Roman"/>
              <w:color w:val="000000"/>
              <w:sz w:val="24"/>
              <w:shd w:val="clear" w:color="auto" w:fill="FFFFFF"/>
            </w:rPr>
            <w:t>000 000</w:t>
          </w:r>
        </w:sdtContent>
      </w:sdt>
      <w:r>
        <w:rPr>
          <w:rFonts w:ascii="Times New Roman" w:hAnsi="Times New Roman"/>
          <w:sz w:val="24"/>
        </w:rPr>
        <w:t xml:space="preserve"> (five million EUR) (hereinafter – the total funding of the Tender). The total funding of the Tender </w:t>
      </w:r>
      <w:proofErr w:type="gramStart"/>
      <w:r>
        <w:rPr>
          <w:rFonts w:ascii="Times New Roman" w:hAnsi="Times New Roman"/>
          <w:sz w:val="24"/>
        </w:rPr>
        <w:t>shall be used</w:t>
      </w:r>
      <w:proofErr w:type="gramEnd"/>
      <w:r>
        <w:rPr>
          <w:rFonts w:ascii="Times New Roman" w:hAnsi="Times New Roman"/>
          <w:sz w:val="24"/>
        </w:rPr>
        <w:t xml:space="preserve"> in conformity with Paragraph 36 of the Cabinet Regulation:</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3.1 </w:t>
      </w:r>
      <w:proofErr w:type="gramStart"/>
      <w:r>
        <w:rPr>
          <w:rFonts w:ascii="Times New Roman" w:hAnsi="Times New Roman"/>
          <w:sz w:val="24"/>
        </w:rPr>
        <w:t>to</w:t>
      </w:r>
      <w:proofErr w:type="gramEnd"/>
      <w:r>
        <w:rPr>
          <w:rFonts w:ascii="Times New Roman" w:hAnsi="Times New Roman"/>
          <w:sz w:val="24"/>
        </w:rPr>
        <w:t xml:space="preserve"> finance projects;</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3.2</w:t>
      </w:r>
      <w:proofErr w:type="gramEnd"/>
      <w:r>
        <w:rPr>
          <w:rFonts w:ascii="Times New Roman" w:hAnsi="Times New Roman"/>
          <w:sz w:val="24"/>
        </w:rPr>
        <w:t xml:space="preserve"> to implement the measures referred to in Paragraph 37 of the Cabinet Regulation.</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6063C9C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24</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w:t>
      </w:r>
      <w:proofErr w:type="gramStart"/>
      <w:r>
        <w:rPr>
          <w:rFonts w:ascii="Times New Roman" w:hAnsi="Times New Roman"/>
          <w:color w:val="000000"/>
          <w:sz w:val="24"/>
        </w:rPr>
        <w:t>time period</w:t>
      </w:r>
      <w:proofErr w:type="gramEnd"/>
      <w:r>
        <w:rPr>
          <w:rFonts w:ascii="Times New Roman" w:hAnsi="Times New Roman"/>
          <w:color w:val="000000"/>
          <w:sz w:val="24"/>
        </w:rPr>
        <w:t xml:space="preserve"> and in accordance with the procedures laid down in Paragraph 39 of the Cabinet Regulation. A project shall be financed over a period of at least 12 (twelve) months.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22CAC348" w14:textId="753B1CEF" w:rsidR="00254586" w:rsidRPr="00873793"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The Tender will finance one project for the implementation of all the tasks set out in Paragraphs 6 and 7 of the Cabinet Order, with a maximum project funding of EUR 4,800,000 (four million eight hundred thousand EUR).</w:t>
      </w:r>
    </w:p>
    <w:p w14:paraId="76DF09BC" w14:textId="77777777" w:rsidR="009528CA" w:rsidRPr="00873793"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launch the call for tenders in accordance with the procedure laid down in Paragraph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1AD11C5F"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A project applicant who </w:t>
      </w:r>
      <w:r>
        <w:rPr>
          <w:rFonts w:ascii="Times New Roman" w:hAnsi="Times New Roman"/>
          <w:sz w:val="24"/>
        </w:rPr>
        <w:t>complies with the provisions of Sub-paragraphs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By-laws </w:t>
      </w:r>
      <w:r>
        <w:rPr>
          <w:rFonts w:ascii="Times New Roman" w:hAnsi="Times New Roman"/>
          <w:sz w:val="24"/>
        </w:rPr>
        <w:t xml:space="preserve">(hereinafter – the project application). The deadline </w:t>
      </w:r>
      <w:r>
        <w:rPr>
          <w:rFonts w:ascii="Times New Roman" w:hAnsi="Times New Roman"/>
          <w:sz w:val="24"/>
        </w:rPr>
        <w:lastRenderedPageBreak/>
        <w:t>for submitting the project application is by 17 November 2023, 15:00 (hereinafter – the deadline for submitting project applications).</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 The Council shall state in the call for tenders:</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 xml:space="preserve">8.1 </w:t>
      </w:r>
      <w:proofErr w:type="gramStart"/>
      <w:r>
        <w:rPr>
          <w:rFonts w:ascii="Times New Roman" w:hAnsi="Times New Roman"/>
          <w:color w:val="000000"/>
          <w:sz w:val="24"/>
        </w:rPr>
        <w:t>the</w:t>
      </w:r>
      <w:proofErr w:type="gramEnd"/>
      <w:r>
        <w:rPr>
          <w:rFonts w:ascii="Times New Roman" w:hAnsi="Times New Roman"/>
          <w:color w:val="000000"/>
          <w:sz w:val="24"/>
        </w:rPr>
        <w:t xml:space="preserve"> name of the tender;</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8.2 </w:t>
      </w:r>
      <w:proofErr w:type="gramStart"/>
      <w:r>
        <w:rPr>
          <w:rFonts w:ascii="Times New Roman" w:hAnsi="Times New Roman"/>
          <w:color w:val="000000"/>
          <w:sz w:val="24"/>
        </w:rPr>
        <w:t>the</w:t>
      </w:r>
      <w:proofErr w:type="gramEnd"/>
      <w:r>
        <w:rPr>
          <w:rFonts w:ascii="Times New Roman" w:hAnsi="Times New Roman"/>
          <w:color w:val="000000"/>
          <w:sz w:val="24"/>
        </w:rPr>
        <w:t xml:space="preserve"> total funding for the tender;</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8.3 </w:t>
      </w:r>
      <w:proofErr w:type="gramStart"/>
      <w:r>
        <w:rPr>
          <w:rFonts w:ascii="Times New Roman" w:hAnsi="Times New Roman"/>
          <w:color w:val="000000"/>
          <w:sz w:val="24"/>
        </w:rPr>
        <w:t>the</w:t>
      </w:r>
      <w:proofErr w:type="gramEnd"/>
      <w:r>
        <w:rPr>
          <w:rFonts w:ascii="Times New Roman" w:hAnsi="Times New Roman"/>
          <w:color w:val="000000"/>
          <w:sz w:val="24"/>
        </w:rPr>
        <w:t xml:space="preserve"> deadline for the submission of project applications;</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proofErr w:type="gramStart"/>
      <w:r>
        <w:rPr>
          <w:rFonts w:ascii="Times New Roman" w:hAnsi="Times New Roman"/>
          <w:color w:val="000000"/>
          <w:sz w:val="24"/>
        </w:rPr>
        <w:t>8.4</w:t>
      </w:r>
      <w:proofErr w:type="gramEnd"/>
      <w:r>
        <w:rPr>
          <w:rFonts w:ascii="Times New Roman" w:hAnsi="Times New Roman"/>
          <w:color w:val="000000"/>
          <w:sz w:val="24"/>
        </w:rPr>
        <w:t xml:space="preserve"> a website containing the information needed to submit project applications.</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30305140" w:rsidR="00356F5B" w:rsidRPr="00873793" w:rsidRDefault="00356F5B" w:rsidP="00356F5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The applicant shall submit a project </w:t>
      </w:r>
      <w:r>
        <w:rPr>
          <w:rFonts w:ascii="Times New Roman" w:hAnsi="Times New Roman"/>
          <w:sz w:val="24"/>
          <w:shd w:val="clear" w:color="auto" w:fill="FFFFFF"/>
        </w:rPr>
        <w:t xml:space="preserve">application for both sub-programmes set out in Paragraph 5 of the Cabinet Order and for all sub-programme tasks set out in Paragraphs 6 and 7 of the Cabinet Order. </w:t>
      </w:r>
    </w:p>
    <w:p w14:paraId="4CDA42D9" w14:textId="7777777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4" w:name="_Hlk77852036"/>
    </w:p>
    <w:p w14:paraId="29C63DDA" w14:textId="71AD0F0A" w:rsidR="003E7A6A"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In order to achieve the overarching objective of the Programme and the objectives of the sub-programmes set out in Paragraph 5 of the Cabinet Order, each sub-programme shall provide for the following tasks:</w:t>
      </w:r>
    </w:p>
    <w:p w14:paraId="5FE648D3" w14:textId="481A1D49" w:rsidR="00A53F46" w:rsidRDefault="00C30461" w:rsidP="00540CF5">
      <w:pPr>
        <w:spacing w:after="0" w:line="240" w:lineRule="auto"/>
        <w:ind w:left="1276" w:hanging="56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10.1 the sub-programme </w:t>
      </w:r>
      <w:r>
        <w:rPr>
          <w:rFonts w:ascii="Times New Roman" w:hAnsi="Times New Roman"/>
          <w:i/>
          <w:sz w:val="24"/>
          <w:shd w:val="clear" w:color="auto" w:fill="FFFFFF"/>
        </w:rPr>
        <w:t>"Sustainable use of agricultural, including fisheries, resources for the production of safe, quality and healthy food in Latvia"</w:t>
      </w:r>
      <w:r>
        <w:rPr>
          <w:rFonts w:ascii="Times New Roman" w:hAnsi="Times New Roman"/>
          <w:sz w:val="24"/>
          <w:shd w:val="clear" w:color="auto" w:fill="FFFFFF"/>
        </w:rPr>
        <w:t xml:space="preserve"> has the following thematic objectives and sub-objectives:</w:t>
      </w:r>
    </w:p>
    <w:p w14:paraId="0237A105" w14:textId="115F67E4" w:rsidR="007C6A63" w:rsidRPr="007C6A63" w:rsidRDefault="00A41ED6" w:rsidP="00967B88">
      <w:pPr>
        <w:spacing w:after="0" w:line="240" w:lineRule="auto"/>
        <w:ind w:left="1276"/>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 </w:t>
      </w:r>
      <w:bookmarkEnd w:id="4"/>
      <w:r>
        <w:rPr>
          <w:rFonts w:ascii="Times New Roman" w:hAnsi="Times New Roman"/>
          <w:sz w:val="24"/>
          <w:shd w:val="clear" w:color="auto" w:fill="FFFFFF"/>
        </w:rPr>
        <w:t xml:space="preserve">10.1.1 </w:t>
      </w:r>
      <w:proofErr w:type="gramStart"/>
      <w:r>
        <w:rPr>
          <w:rFonts w:ascii="Times New Roman" w:hAnsi="Times New Roman"/>
          <w:sz w:val="24"/>
          <w:shd w:val="clear" w:color="auto" w:fill="FFFFFF"/>
        </w:rPr>
        <w:t>the</w:t>
      </w:r>
      <w:proofErr w:type="gramEnd"/>
      <w:r>
        <w:rPr>
          <w:rFonts w:ascii="Times New Roman" w:hAnsi="Times New Roman"/>
          <w:sz w:val="24"/>
          <w:shd w:val="clear" w:color="auto" w:fill="FFFFFF"/>
        </w:rPr>
        <w:t xml:space="preserve"> development of sustainable, quality and competitive agricultural production in an environmentally friendly agricultural sector:</w:t>
      </w:r>
    </w:p>
    <w:p w14:paraId="2B28E1C2" w14:textId="70CD2B98"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to assess the impact of reduced chemical pesticide load on the productivity and yield quality of the most widely cultivated crop, winter wheat, by comparing different agro-technologies in environmentally friendly cropping systems and evaluating their effectiveness in different regions of LV;</w:t>
      </w:r>
    </w:p>
    <w:p w14:paraId="5A699802" w14:textId="64117D0F"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to investigate the technological elements of the production of economically important fruit trees, shrubs and vegetables to reduce the use of chemical plant protection products, improve soil fertility and sequester carbon;</w:t>
      </w:r>
    </w:p>
    <w:p w14:paraId="3F233607" w14:textId="0DF796E6"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investigate new or little-studied pathogens of crops and horticultural plants in relation to changes in climate and cultivation technologies;</w:t>
      </w:r>
    </w:p>
    <w:p w14:paraId="57B8F8D6" w14:textId="33E9CC0A" w:rsidR="007C6A63" w:rsidRPr="007C6A63" w:rsidRDefault="007C6A63" w:rsidP="00967B88">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10.1.2 The social and economic impact of the European Green Deal on Latvian agriculture and rural space, as well as the creation of new knowledge for the development of a sustainable bio-economy and rural space:</w:t>
      </w:r>
    </w:p>
    <w:p w14:paraId="6E2F17E2" w14:textId="6E3CA70D"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assess the socio-economic dimension of the impact of the European Green Deal on Latvian agriculture, its impact on local food security, and find solutions for the development of a sustainable and viable agricultural sector, achieving the objectives of the Green Deal;</w:t>
      </w:r>
    </w:p>
    <w:p w14:paraId="1FB439C1" w14:textId="0A3D7806"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opportunities and risks of hydrological restoration in drained organic soils used for agriculture, dynamic groundwater level prediction system for modelling greenhouse gas (GHG) emissions in reclaimed and waterlogged organic soils;</w:t>
      </w:r>
    </w:p>
    <w:p w14:paraId="257F7C55" w14:textId="565FF7E5"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knowledge-intensive research on the strategic development, socio-economic dimension and rural impact of the </w:t>
      </w:r>
      <w:proofErr w:type="spellStart"/>
      <w:r>
        <w:rPr>
          <w:rFonts w:ascii="Times New Roman" w:hAnsi="Times New Roman"/>
          <w:sz w:val="24"/>
          <w:shd w:val="clear" w:color="auto" w:fill="FFFFFF"/>
        </w:rPr>
        <w:t>bioeconomy</w:t>
      </w:r>
      <w:proofErr w:type="spellEnd"/>
      <w:r>
        <w:rPr>
          <w:rFonts w:ascii="Times New Roman" w:hAnsi="Times New Roman"/>
          <w:sz w:val="24"/>
          <w:shd w:val="clear" w:color="auto" w:fill="FFFFFF"/>
        </w:rPr>
        <w:t xml:space="preserve">, developing a </w:t>
      </w:r>
      <w:proofErr w:type="spellStart"/>
      <w:r>
        <w:rPr>
          <w:rFonts w:ascii="Times New Roman" w:hAnsi="Times New Roman"/>
          <w:sz w:val="24"/>
          <w:shd w:val="clear" w:color="auto" w:fill="FFFFFF"/>
        </w:rPr>
        <w:t>bioeconomy</w:t>
      </w:r>
      <w:proofErr w:type="spellEnd"/>
      <w:r>
        <w:rPr>
          <w:rFonts w:ascii="Times New Roman" w:hAnsi="Times New Roman"/>
          <w:sz w:val="24"/>
          <w:shd w:val="clear" w:color="auto" w:fill="FFFFFF"/>
        </w:rPr>
        <w:t xml:space="preserve"> monitoring tool and applying a functional land use (agriculture and forestry) approach;</w:t>
      </w:r>
    </w:p>
    <w:p w14:paraId="5156D5CB" w14:textId="3CB97E4C"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10.1.3 the development of new knowledge, approaches and methods to promote a safe and quality food and feed chain, to improve animal health, welfare and protection and to reduce risks to public health and the environment in accordance with the 'one health' principle, while promoting the development of technological solutions and new products for the production of high-quality and competitive food products:</w:t>
      </w:r>
      <w:proofErr w:type="gramEnd"/>
    </w:p>
    <w:p w14:paraId="0B54B307" w14:textId="7B8B384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lastRenderedPageBreak/>
        <w:t>to analyse the link between the development of antimicrobial resistance and the use of antibiotics in livestock housing, to study the distribution of the most important zoonotic agents and indicators in order to gain new knowledge and find solutions to reduce the risk of resistance;</w:t>
      </w:r>
    </w:p>
    <w:p w14:paraId="4B64C4B2" w14:textId="42F1D322"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collect food consumption data for the Latvian population, covering all seasons and different population groups, analyse the data, assess changes in consumption and potential hazards in food, taking into account current food, safety and nutrition policy issues, and ensure public availability of food composition and consumption data;</w:t>
      </w:r>
    </w:p>
    <w:p w14:paraId="2A17AE31" w14:textId="63C8A9B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generate new knowledge for a sustainable food system (raw materials, including by-products, their processing into high quality products complying with food legislation and regulations, preserving bioactive compounds) and for the use of environmentally friendly and recyclable packaging materials for food; </w:t>
      </w:r>
    </w:p>
    <w:p w14:paraId="47597815" w14:textId="19FCE4D1"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10.1.4 </w:t>
      </w:r>
      <w:proofErr w:type="gramStart"/>
      <w:r>
        <w:rPr>
          <w:rFonts w:ascii="Times New Roman" w:hAnsi="Times New Roman"/>
          <w:sz w:val="24"/>
          <w:shd w:val="clear" w:color="auto" w:fill="FFFFFF"/>
        </w:rPr>
        <w:t>implementing</w:t>
      </w:r>
      <w:proofErr w:type="gramEnd"/>
      <w:r>
        <w:rPr>
          <w:rFonts w:ascii="Times New Roman" w:hAnsi="Times New Roman"/>
          <w:sz w:val="24"/>
          <w:shd w:val="clear" w:color="auto" w:fill="FFFFFF"/>
        </w:rPr>
        <w:t xml:space="preserve"> an integrated approach to ensure sustainable exploitation of inland waters for fisheries productivity and high quality ecosystem services:</w:t>
      </w:r>
    </w:p>
    <w:p w14:paraId="4E609A51" w14:textId="630248B3" w:rsidR="007C6A63"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development of a stock assessment method for economically valuable lakes, using an integrated approach to analyse recreational, commercial and scientific (active, passive gear and </w:t>
      </w:r>
      <w:proofErr w:type="spellStart"/>
      <w:r>
        <w:rPr>
          <w:rFonts w:ascii="Times New Roman" w:hAnsi="Times New Roman"/>
          <w:sz w:val="24"/>
          <w:shd w:val="clear" w:color="auto" w:fill="FFFFFF"/>
        </w:rPr>
        <w:t>hydroacoustic</w:t>
      </w:r>
      <w:proofErr w:type="spellEnd"/>
      <w:r>
        <w:rPr>
          <w:rFonts w:ascii="Times New Roman" w:hAnsi="Times New Roman"/>
          <w:sz w:val="24"/>
          <w:shd w:val="clear" w:color="auto" w:fill="FFFFFF"/>
        </w:rPr>
        <w:t xml:space="preserve"> surveys) catch data and ecosystem services; </w:t>
      </w:r>
    </w:p>
    <w:p w14:paraId="789B0CE2" w14:textId="1000B9DF" w:rsidR="00254586"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Pr>
          <w:rFonts w:ascii="Times New Roman" w:hAnsi="Times New Roman"/>
          <w:sz w:val="24"/>
          <w:shd w:val="clear" w:color="auto" w:fill="FFFFFF"/>
        </w:rPr>
        <w:t>risk-return assessment of economically valuable fish;</w:t>
      </w:r>
    </w:p>
    <w:p w14:paraId="74D9644D" w14:textId="019662BF" w:rsidR="00540CF5" w:rsidRDefault="00540CF5" w:rsidP="00540CF5">
      <w:pPr>
        <w:spacing w:after="0" w:line="240" w:lineRule="auto"/>
        <w:ind w:left="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 </w:t>
      </w:r>
      <w:proofErr w:type="gramStart"/>
      <w:r>
        <w:rPr>
          <w:rFonts w:ascii="Times New Roman" w:hAnsi="Times New Roman"/>
          <w:color w:val="000000"/>
          <w:sz w:val="24"/>
          <w:shd w:val="clear" w:color="auto" w:fill="FFFFFF"/>
        </w:rPr>
        <w:t>the</w:t>
      </w:r>
      <w:proofErr w:type="gramEnd"/>
      <w:r>
        <w:rPr>
          <w:rFonts w:ascii="Times New Roman" w:hAnsi="Times New Roman"/>
          <w:color w:val="000000"/>
          <w:sz w:val="24"/>
          <w:shd w:val="clear" w:color="auto" w:fill="FFFFFF"/>
        </w:rPr>
        <w:t xml:space="preserve"> sub-programme </w:t>
      </w:r>
      <w:r>
        <w:rPr>
          <w:rFonts w:ascii="Times New Roman" w:hAnsi="Times New Roman"/>
          <w:i/>
          <w:color w:val="000000"/>
          <w:sz w:val="24"/>
          <w:shd w:val="clear" w:color="auto" w:fill="FFFFFF"/>
        </w:rPr>
        <w:t>“Innovative forest management and new forest services, products and technologies for Latvia's growth”</w:t>
      </w:r>
      <w:r>
        <w:rPr>
          <w:rFonts w:ascii="Times New Roman" w:hAnsi="Times New Roman"/>
          <w:color w:val="000000"/>
          <w:sz w:val="24"/>
          <w:shd w:val="clear" w:color="auto" w:fill="FFFFFF"/>
        </w:rPr>
        <w:t xml:space="preserve"> has the following thematic objectives and sub-objectives:</w:t>
      </w:r>
    </w:p>
    <w:p w14:paraId="39EE22EC" w14:textId="5A607670" w:rsidR="00540CF5" w:rsidRPr="00540CF5" w:rsidRDefault="00540CF5" w:rsidP="00540CF5">
      <w:pPr>
        <w:spacing w:after="0" w:line="240" w:lineRule="auto"/>
        <w:ind w:left="1418"/>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10.2.1 </w:t>
      </w:r>
      <w:proofErr w:type="gramStart"/>
      <w:r>
        <w:rPr>
          <w:rFonts w:ascii="Times New Roman" w:hAnsi="Times New Roman"/>
          <w:color w:val="000000"/>
          <w:sz w:val="24"/>
          <w:shd w:val="clear" w:color="auto" w:fill="FFFFFF"/>
        </w:rPr>
        <w:t>development</w:t>
      </w:r>
      <w:proofErr w:type="gramEnd"/>
      <w:r>
        <w:rPr>
          <w:rFonts w:ascii="Times New Roman" w:hAnsi="Times New Roman"/>
          <w:color w:val="000000"/>
          <w:sz w:val="24"/>
          <w:shd w:val="clear" w:color="auto" w:fill="FFFFFF"/>
        </w:rPr>
        <w:t xml:space="preserve"> of forest management practices, improving forest productivity and capacity to play a long-term role in climate change mitigation, enhancing the integration of biodiversity values and facilitating the production of a range of forest ecosystem products and services in a changing environment:</w:t>
      </w:r>
    </w:p>
    <w:p w14:paraId="7FBE9B03" w14:textId="3426D280"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guidelines for "nature-friendly forestry" in pine forests;</w:t>
      </w:r>
    </w:p>
    <w:p w14:paraId="4E4DB5C7" w14:textId="48BBA65D"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impact of restoration and management practices on genetic diversity in pine stands;</w:t>
      </w:r>
    </w:p>
    <w:p w14:paraId="16437E85" w14:textId="6F6D8634"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recommendations for restoring and replanting pine forests in areas affected by natural disturbance and areas to be rehabilitated;</w:t>
      </w:r>
    </w:p>
    <w:p w14:paraId="36596505" w14:textId="5A33A4E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factors affecting the health and quality of pine forest ecosystems;</w:t>
      </w:r>
    </w:p>
    <w:p w14:paraId="1E854D35" w14:textId="4E1D9A71"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the effect of the interaction of tree growth improvement measures (coppicing and stand fertilisation) on the productivity and quality of pine stands;</w:t>
      </w:r>
    </w:p>
    <w:p w14:paraId="7AEF9C4E" w14:textId="797D8D8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increasing the adaptive capacity of pine forests through breeding;</w:t>
      </w:r>
    </w:p>
    <w:p w14:paraId="554C4310" w14:textId="1EC4E5C3"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ensuring a favourable conservation status for protected species in commercial pine forests;</w:t>
      </w:r>
    </w:p>
    <w:p w14:paraId="69B597D9" w14:textId="144F0F3A"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developing a higher-level method for accounting for greenhouse gas (GHG) emissions from peat used in forestry and agriculture;</w:t>
      </w:r>
    </w:p>
    <w:p w14:paraId="564A89F3" w14:textId="59E3F772" w:rsidR="00540CF5" w:rsidRPr="00540CF5" w:rsidRDefault="00540CF5" w:rsidP="00AC2BB6">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10.2.2 </w:t>
      </w:r>
      <w:proofErr w:type="gramStart"/>
      <w:r>
        <w:rPr>
          <w:rFonts w:ascii="Times New Roman" w:hAnsi="Times New Roman"/>
          <w:color w:val="000000"/>
          <w:sz w:val="24"/>
          <w:shd w:val="clear" w:color="auto" w:fill="FFFFFF"/>
        </w:rPr>
        <w:t>analysis</w:t>
      </w:r>
      <w:proofErr w:type="gramEnd"/>
      <w:r>
        <w:rPr>
          <w:rFonts w:ascii="Times New Roman" w:hAnsi="Times New Roman"/>
          <w:color w:val="000000"/>
          <w:sz w:val="24"/>
          <w:shd w:val="clear" w:color="auto" w:fill="FFFFFF"/>
        </w:rPr>
        <w:t xml:space="preserve"> and development of recommendations on the socio-economic aspects, including societal benefits, of the development of multi-purpose forest management, new forest services, products and technologies: the contribution of pine forest ecosystems to the well-being of the Latvian population;</w:t>
      </w:r>
    </w:p>
    <w:p w14:paraId="4B017256" w14:textId="2D7BE609" w:rsidR="00540CF5" w:rsidRPr="00540CF5" w:rsidRDefault="00D67947" w:rsidP="00D67947">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10.2.3 the development of a circular forest bio-economy and the development of innovative technologies and products for using local forest resources to produce competitive and sustainable products, promoting the rational use of wood and developing wood construction in line with the Green Deal:</w:t>
      </w:r>
    </w:p>
    <w:p w14:paraId="118C32B3" w14:textId="225A85DC"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lastRenderedPageBreak/>
        <w:t>the technologies and products to expand the use of wood-based materials in construction in line with the European Green Deal;</w:t>
      </w:r>
    </w:p>
    <w:p w14:paraId="4A81AE41" w14:textId="17D4435B"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proofErr w:type="spellStart"/>
      <w:r>
        <w:rPr>
          <w:rFonts w:ascii="Times New Roman" w:hAnsi="Times New Roman"/>
          <w:color w:val="000000"/>
          <w:sz w:val="24"/>
          <w:shd w:val="clear" w:color="auto" w:fill="FFFFFF"/>
        </w:rPr>
        <w:t>biorefining</w:t>
      </w:r>
      <w:proofErr w:type="spellEnd"/>
      <w:r>
        <w:rPr>
          <w:rFonts w:ascii="Times New Roman" w:hAnsi="Times New Roman"/>
          <w:color w:val="000000"/>
          <w:sz w:val="24"/>
          <w:shd w:val="clear" w:color="auto" w:fill="FFFFFF"/>
        </w:rPr>
        <w:t xml:space="preserve"> technologies for the integrated use of forest resources to produce higher value-added products;</w:t>
      </w:r>
    </w:p>
    <w:p w14:paraId="6C06DA6A" w14:textId="7248E346"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use of wood processing and residues to produce polymer composites and insulation materials;</w:t>
      </w:r>
    </w:p>
    <w:p w14:paraId="5DF5F670" w14:textId="37FB6CA3"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original solutions for innovative products based on logging by-products and non-wood materials;</w:t>
      </w:r>
    </w:p>
    <w:p w14:paraId="788F4809" w14:textId="037AE97D"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increase</w:t>
      </w:r>
      <w:proofErr w:type="gramEnd"/>
      <w:r>
        <w:rPr>
          <w:rFonts w:ascii="Times New Roman" w:hAnsi="Times New Roman"/>
          <w:color w:val="000000"/>
          <w:sz w:val="24"/>
          <w:shd w:val="clear" w:color="auto" w:fill="FFFFFF"/>
        </w:rPr>
        <w:t xml:space="preserve"> in efficiency and accuracy of the use of wood resources, smart technology solutions.</w:t>
      </w:r>
    </w:p>
    <w:p w14:paraId="5704BC7F" w14:textId="55A9D2A3" w:rsidR="00254586"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617BD445" w14:textId="048617CC"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 When preparing the project application, the project applicant shall envisage: </w:t>
      </w:r>
    </w:p>
    <w:p w14:paraId="668B4DC8" w14:textId="4EF4EEC4" w:rsid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11.1 the results of the project in conformity with Paragraph 12 of the Cabinet Regulation (hereinafter – the scientific results) and indicate the numerical indicators of such results in the Information System of the State Scientific Activity (hereinafter – the Information System) in project application Part A “General Information”, Chapter 4 “Project Results", having regard to the tasks laid down for each sub-programme in Paragraph 10 of the By-laws and results laid down in Paragraph 9 of the Cabinet Order;</w:t>
      </w:r>
      <w:proofErr w:type="gramEnd"/>
      <w:r>
        <w:rPr>
          <w:rFonts w:ascii="Times New Roman" w:hAnsi="Times New Roman"/>
          <w:color w:val="000000"/>
          <w:sz w:val="24"/>
          <w:shd w:val="clear" w:color="auto" w:fill="FFFFFF"/>
        </w:rPr>
        <w:t xml:space="preserve">  </w:t>
      </w:r>
    </w:p>
    <w:p w14:paraId="40962AE7" w14:textId="611D3BEC" w:rsidR="00EF69D9" w:rsidRPr="00D67947" w:rsidRDefault="00EF69D9"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11.2 the implementation of the thematic objectives and sub-objectives of the sub-programmes referred to in Sub-paragraphs 10.1 and 10.2 of the By-laws, providing the implementation plan for these thematic tasks and sub-tasks in Part I “Thematic and horizontal objectives and results to be achieved” of the project application;</w:t>
      </w:r>
    </w:p>
    <w:p w14:paraId="0933CF05" w14:textId="11102E0E"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11.3 The implementation of all the common (horizontal) objectives set out in Paragraph 8 of the Cabinet Order, including a plan for the implementation of these objectives in Part I of the project application; </w:t>
      </w:r>
    </w:p>
    <w:p w14:paraId="2399B2BB" w14:textId="4D322BF0"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11.4 the achievement of at least one result for each of the outcomes set out in Paragraph 9 of the Cabinet Order, including focusing more on </w:t>
      </w:r>
      <w:proofErr w:type="spellStart"/>
      <w:r>
        <w:rPr>
          <w:rFonts w:ascii="Times New Roman" w:hAnsi="Times New Roman"/>
          <w:color w:val="000000"/>
          <w:sz w:val="24"/>
          <w:shd w:val="clear" w:color="auto" w:fill="FFFFFF"/>
        </w:rPr>
        <w:t>commercialisable</w:t>
      </w:r>
      <w:proofErr w:type="spellEnd"/>
      <w:r>
        <w:rPr>
          <w:rFonts w:ascii="Times New Roman" w:hAnsi="Times New Roman"/>
          <w:color w:val="000000"/>
          <w:sz w:val="24"/>
          <w:shd w:val="clear" w:color="auto" w:fill="FFFFFF"/>
        </w:rPr>
        <w:t xml:space="preserve"> research results, and the plan for achieving these results shall be indicated in Part I of the project application; </w:t>
      </w:r>
    </w:p>
    <w:p w14:paraId="7C0F2B62" w14:textId="18CC7CFE" w:rsid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11.5 making scientific publications open-access and depositing research data in appropriate repositories (using the FAIR</w:t>
      </w:r>
      <w:r w:rsidR="00B50D09" w:rsidRPr="00B50D09">
        <w:rPr>
          <w:rFonts w:ascii="Times New Roman" w:eastAsia="Times New Roman" w:hAnsi="Times New Roman" w:cs="Times New Roman"/>
          <w:i/>
          <w:iCs/>
          <w:sz w:val="24"/>
          <w:szCs w:val="24"/>
          <w:shd w:val="clear" w:color="auto" w:fill="FFFFFF"/>
          <w:vertAlign w:val="superscript"/>
        </w:rPr>
        <w:footnoteReference w:id="1"/>
      </w:r>
      <w:r>
        <w:rPr>
          <w:rFonts w:ascii="Times New Roman" w:hAnsi="Times New Roman"/>
          <w:color w:val="000000"/>
          <w:sz w:val="24"/>
          <w:shd w:val="clear" w:color="auto" w:fill="FFFFFF"/>
        </w:rPr>
        <w:t xml:space="preserve"> principles);</w:t>
      </w:r>
    </w:p>
    <w:p w14:paraId="496514B9" w14:textId="77777777" w:rsidR="00D67947" w:rsidRPr="00873793"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Project Participation Conditions for the Project Applicant and the Project Partner</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B72B9D9"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12 </w:t>
      </w:r>
      <w:r>
        <w:rPr>
          <w:rFonts w:ascii="Times New Roman" w:hAnsi="Times New Roman"/>
          <w:sz w:val="24"/>
        </w:rPr>
        <w:t>In order to certify the applicant’s compliance with that laid down in Sub-paragraphs 2.12 and 9.1 of the Cabinet Regulation,</w:t>
      </w:r>
      <w:r>
        <w:rPr>
          <w:rFonts w:ascii="Times New Roman" w:hAnsi="Times New Roman"/>
          <w:sz w:val="24"/>
          <w:shd w:val="clear" w:color="auto" w:fill="FFFFFF"/>
        </w:rPr>
        <w:t> </w:t>
      </w:r>
      <w:r>
        <w:rPr>
          <w:rFonts w:ascii="Times New Roman" w:hAnsi="Times New Roman"/>
          <w:sz w:val="24"/>
        </w:rPr>
        <w:t>the applicant shall upload Part D of the project application, “Applicant’s certification”, completed and signed with a secure electronic signature bearing a time stamp (hereinafter – the applicant’s certification), to the information system. If it is not possible to provide a secure electronic signature with a time stamp, the project applicant shall proceed in accordance with that laid down in Paragraph 18 of Annex 2 to the By-laws,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w:t>
      </w:r>
      <w:r>
        <w:rPr>
          <w:rFonts w:ascii="Times New Roman" w:hAnsi="Times New Roman"/>
          <w:sz w:val="24"/>
          <w:shd w:val="clear" w:color="auto" w:fill="FFFFFF"/>
        </w:rPr>
        <w:t> </w:t>
      </w:r>
      <w:r>
        <w:rPr>
          <w:rFonts w:ascii="Times New Roman" w:hAnsi="Times New Roman"/>
          <w:sz w:val="24"/>
        </w:rPr>
        <w:t xml:space="preserve">(hereinafter – the submission methodology).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9E84590"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13 The project partner shall comply with that laid down in Sub-paragraph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Sub-paragraph 9.3</w:t>
      </w:r>
      <w:r>
        <w:rPr>
          <w:rFonts w:ascii="Times New Roman" w:hAnsi="Times New Roman"/>
          <w:sz w:val="24"/>
          <w:shd w:val="clear" w:color="auto" w:fill="FFFFFF"/>
        </w:rPr>
        <w:t> </w:t>
      </w:r>
      <w:r>
        <w:rPr>
          <w:rFonts w:ascii="Times New Roman" w:hAnsi="Times New Roman"/>
          <w:sz w:val="24"/>
        </w:rPr>
        <w:t xml:space="preserve">of the Cabinet Regulation. </w:t>
      </w:r>
      <w:proofErr w:type="gramStart"/>
      <w:r>
        <w:rPr>
          <w:rFonts w:ascii="Times New Roman" w:hAnsi="Times New Roman"/>
          <w:sz w:val="24"/>
        </w:rPr>
        <w:t xml:space="preserve">In order to certify the cooperation within the project, the project applicant shall ensure that the project partner signs Part E “Certification of the project partner - scientific institution” (hereinafter – the Certification of the project partner– scientific institution”) or Part F “Certification of the project partner – public institution” (hereinafter – the Certification of </w:t>
      </w:r>
      <w:r>
        <w:rPr>
          <w:rFonts w:ascii="Times New Roman" w:hAnsi="Times New Roman"/>
          <w:sz w:val="24"/>
        </w:rPr>
        <w:lastRenderedPageBreak/>
        <w:t>the project partner – public institution) of the project application with a secure electronic signature bearing a time stamp which the project applicant shall attach to the project application.</w:t>
      </w:r>
      <w:proofErr w:type="gramEnd"/>
      <w:r>
        <w:rPr>
          <w:rFonts w:ascii="Times New Roman" w:hAnsi="Times New Roman"/>
          <w:sz w:val="24"/>
        </w:rPr>
        <w:t xml:space="preserve"> If a secure electronic signature </w:t>
      </w:r>
      <w:proofErr w:type="gramStart"/>
      <w:r>
        <w:rPr>
          <w:rFonts w:ascii="Times New Roman" w:hAnsi="Times New Roman"/>
          <w:sz w:val="24"/>
        </w:rPr>
        <w:t>cannot be provided</w:t>
      </w:r>
      <w:proofErr w:type="gramEnd"/>
      <w:r>
        <w:rPr>
          <w:rFonts w:ascii="Times New Roman" w:hAnsi="Times New Roman"/>
          <w:sz w:val="24"/>
        </w:rPr>
        <w:t>, the project partner shall proceed in accordance with that laid own in Paragraph 22 or 26</w:t>
      </w:r>
      <w:r>
        <w:rPr>
          <w:rFonts w:ascii="Times New Roman" w:hAnsi="Times New Roman"/>
          <w:sz w:val="24"/>
          <w:shd w:val="clear" w:color="auto" w:fill="FFFFFF"/>
        </w:rPr>
        <w:t> </w:t>
      </w:r>
      <w:r>
        <w:rPr>
          <w:rFonts w:ascii="Times New Roman" w:hAnsi="Times New Roman"/>
          <w:sz w:val="24"/>
        </w:rPr>
        <w:t>of the Submission Methodology.</w:t>
      </w:r>
    </w:p>
    <w:p w14:paraId="08C4E93D"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55971BD" w:rsidR="00E522CD" w:rsidRPr="00873793"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14 In order to certify the conformity of the project applicant or the project partner – scientific institution with the provisions of Sub-paragraph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2020 - 2022.</w:t>
      </w:r>
      <w:proofErr w:type="gramEnd"/>
      <w:r>
        <w:rPr>
          <w:rFonts w:ascii="Times New Roman" w:hAnsi="Times New Roman"/>
          <w:sz w:val="24"/>
          <w:shd w:val="clear" w:color="auto" w:fill="FFFFFF"/>
        </w:rPr>
        <w:t xml:space="preserve"> </w:t>
      </w:r>
      <w:r>
        <w:rPr>
          <w:rFonts w:ascii="Times New Roman" w:hAnsi="Times New Roman"/>
          <w:sz w:val="24"/>
        </w:rPr>
        <w:t xml:space="preserve"> If the scientific institution has private investors, it must provide a free-form declaration that the results of the research related to the project application </w:t>
      </w:r>
      <w:proofErr w:type="gramStart"/>
      <w:r>
        <w:rPr>
          <w:rFonts w:ascii="Times New Roman" w:hAnsi="Times New Roman"/>
          <w:sz w:val="24"/>
        </w:rPr>
        <w:t>will not be used</w:t>
      </w:r>
      <w:proofErr w:type="gramEnd"/>
      <w:r>
        <w:rPr>
          <w:rFonts w:ascii="Times New Roman" w:hAnsi="Times New Roman"/>
          <w:sz w:val="24"/>
        </w:rPr>
        <w:t xml:space="preserve"> for commercial purposes. The documents referred to in this Paragraph </w:t>
      </w:r>
      <w:proofErr w:type="gramStart"/>
      <w:r>
        <w:rPr>
          <w:rFonts w:ascii="Times New Roman" w:hAnsi="Times New Roman"/>
          <w:sz w:val="24"/>
        </w:rPr>
        <w:t>shall be attached</w:t>
      </w:r>
      <w:proofErr w:type="gramEnd"/>
      <w:r>
        <w:rPr>
          <w:rFonts w:ascii="Times New Roman" w:hAnsi="Times New Roman"/>
          <w:sz w:val="24"/>
        </w:rPr>
        <w:t xml:space="preserve"> as an annex to the applicant’s certification and to the certification of the project partner – scientific institution, in accordance with Sub-chapters 3.2 and 3.3 of the Submission Methodology.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1DC029FA"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The documents</w:t>
      </w:r>
      <w:r>
        <w:rPr>
          <w:rFonts w:ascii="Times New Roman" w:hAnsi="Times New Roman"/>
          <w:sz w:val="24"/>
          <w:shd w:val="clear" w:color="auto" w:fill="FFFFFF"/>
        </w:rPr>
        <w:t> </w:t>
      </w:r>
      <w:r>
        <w:rPr>
          <w:rFonts w:ascii="Times New Roman" w:hAnsi="Times New Roman"/>
          <w:sz w:val="24"/>
        </w:rPr>
        <w:t>referred to in Paragraph 14 of the By-laws shall not be provided by the applicant or project partner which has been recognised as meeting the definition of a research organisation for open call for proposals of 2023 for basic and applied research projects</w:t>
      </w:r>
      <w:r w:rsidRPr="00873793">
        <w:rPr>
          <w:rFonts w:ascii="Times New Roman" w:eastAsia="Times New Roman" w:hAnsi="Times New Roman" w:cs="Times New Roman"/>
          <w:sz w:val="24"/>
          <w:szCs w:val="24"/>
          <w:vertAlign w:val="superscript"/>
        </w:rPr>
        <w:footnoteReference w:id="2"/>
      </w:r>
      <w:r>
        <w:rPr>
          <w:rFonts w:ascii="Times New Roman" w:hAnsi="Times New Roman"/>
          <w:sz w:val="24"/>
        </w:rPr>
        <w:t xml:space="preserve"> and open calls for proposals of 2023 for </w:t>
      </w:r>
      <w:r w:rsidR="00CC0F92">
        <w:rPr>
          <w:rFonts w:ascii="Times New Roman" w:hAnsi="Times New Roman"/>
          <w:sz w:val="24"/>
        </w:rPr>
        <w:t>National Research Programme</w:t>
      </w:r>
      <w:r>
        <w:rPr>
          <w:rFonts w:ascii="Times New Roman" w:hAnsi="Times New Roman"/>
          <w:sz w:val="24"/>
        </w:rPr>
        <w:t>s.</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178B3656"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16 Within the framework of the project implementation, the project partner may be eligible for funding from the indirect eligible costs allocated to the project in proportion to the share of direct eligible costs allocated to the project partner, subject to the provisions of Sub-paragraph 14.2</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4FB1E82F"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17 If the project partner is involved in the implementation of the project, including with human resources of its own, they will participate in the implementation of the project as principal investigators or promoters (which may include students). Information on the involvement of the project partner in the implementation of the project with its own human resources </w:t>
      </w:r>
      <w:proofErr w:type="gramStart"/>
      <w:r>
        <w:rPr>
          <w:rFonts w:ascii="Times New Roman" w:hAnsi="Times New Roman"/>
          <w:sz w:val="24"/>
        </w:rPr>
        <w:t>shall be indicated</w:t>
      </w:r>
      <w:proofErr w:type="gramEnd"/>
      <w:r>
        <w:rPr>
          <w:rFonts w:ascii="Times New Roman" w:hAnsi="Times New Roman"/>
          <w:sz w:val="24"/>
        </w:rPr>
        <w:t xml:space="preserve"> in Part A “General information”, Chapter 2</w:t>
      </w:r>
      <w:r>
        <w:rPr>
          <w:rFonts w:ascii="Times New Roman" w:hAnsi="Times New Roman"/>
          <w:sz w:val="24"/>
          <w:shd w:val="clear" w:color="auto" w:fill="FFFFFF"/>
        </w:rPr>
        <w:t> </w:t>
      </w:r>
      <w:r>
        <w:rPr>
          <w:rFonts w:ascii="Times New Roman" w:hAnsi="Times New Roman"/>
          <w:sz w:val="24"/>
        </w:rPr>
        <w:t>“Scientific Group” of the project application.</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1C3C7CED"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 xml:space="preserve">III. Conditions of the Scientific Group for the Participation in </w:t>
      </w:r>
      <w:r w:rsidR="00CC0F92">
        <w:rPr>
          <w:rFonts w:ascii="Times New Roman" w:hAnsi="Times New Roman"/>
          <w:b/>
          <w:color w:val="000000"/>
          <w:sz w:val="24"/>
        </w:rPr>
        <w:t>t</w:t>
      </w:r>
      <w:r>
        <w:rPr>
          <w:rFonts w:ascii="Times New Roman" w:hAnsi="Times New Roman"/>
          <w:b/>
          <w:color w:val="000000"/>
          <w:sz w:val="24"/>
        </w:rPr>
        <w:t>he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68FC55E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18 The project applicant shall form a scientific group for the implementation of the project, in accordance with that laid down Sub-paragraph 2.22</w:t>
      </w:r>
      <w:r>
        <w:rPr>
          <w:rFonts w:ascii="Times New Roman" w:hAnsi="Times New Roman"/>
          <w:sz w:val="24"/>
          <w:shd w:val="clear" w:color="auto" w:fill="FFFFFF"/>
        </w:rPr>
        <w:t> </w:t>
      </w:r>
      <w:r>
        <w:rPr>
          <w:rFonts w:ascii="Times New Roman" w:hAnsi="Times New Roman"/>
          <w:color w:val="000000"/>
          <w:sz w:val="24"/>
        </w:rPr>
        <w:t xml:space="preserve">of the Cabinet Regulation.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1226F9B4"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19 In the project application, the project manager, the main project contractors and project contractors must comply with that laid down in Sub-paragraphs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8CF8730" w:rsidR="00254586" w:rsidRPr="00873793" w:rsidRDefault="00354C53"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 xml:space="preserve">20 A scientist </w:t>
      </w:r>
      <w:proofErr w:type="gramStart"/>
      <w:r>
        <w:rPr>
          <w:rFonts w:ascii="Times New Roman" w:hAnsi="Times New Roman"/>
          <w:sz w:val="24"/>
        </w:rPr>
        <w:t>may only be named</w:t>
      </w:r>
      <w:proofErr w:type="gramEnd"/>
      <w:r>
        <w:rPr>
          <w:rFonts w:ascii="Times New Roman" w:hAnsi="Times New Roman"/>
          <w:sz w:val="24"/>
        </w:rPr>
        <w:t xml:space="preserve"> as a project manager in one project application per tender. </w:t>
      </w:r>
      <w:proofErr w:type="gramStart"/>
      <w:r>
        <w:rPr>
          <w:rFonts w:ascii="Times New Roman" w:hAnsi="Times New Roman"/>
          <w:sz w:val="24"/>
        </w:rPr>
        <w:t>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roofErr w:type="gramEnd"/>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41FFDD1C" w:rsidR="00D41DD7" w:rsidRPr="00873793"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21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F952B1"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22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2.0 FTE</w:t>
      </w:r>
      <w:r>
        <w:rPr>
          <w:rFonts w:ascii="Times New Roman" w:hAnsi="Times New Roman"/>
          <w:sz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20FA4C2A"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23 The project application, as well as the project implementation, shall require that each student </w:t>
      </w:r>
      <w:proofErr w:type="gramStart"/>
      <w:r>
        <w:rPr>
          <w:rFonts w:ascii="Times New Roman" w:hAnsi="Times New Roman"/>
          <w:sz w:val="24"/>
        </w:rPr>
        <w:t>is</w:t>
      </w:r>
      <w:proofErr w:type="gramEnd"/>
      <w:r>
        <w:rPr>
          <w:rFonts w:ascii="Times New Roman" w:hAnsi="Times New Roman"/>
          <w:sz w:val="24"/>
        </w:rPr>
        <w:t xml:space="preserve"> employed in the project for at least 0.25 FTE on average during the project implementation period.</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3568623C"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24 If a student completes a level of study during the project period and starts the next level of study within four months at the latest, his/her involvement in the project during the four-month period shall be deemed to be in conformity with that laid down in Paragraphs 22 and 23 of the By-laws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roofErr w:type="gramEnd"/>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46296102"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25 If a doctoral student successfully completes the doctoral study programme and defends his/her doctoral thesis during the project period, his/her involvement in the project shall henceforth be deemed to be in conformity with that laid down in Paragraphs 22 and 23 of the By-laws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 xml:space="preserve">IV. Activities and Costs to be </w:t>
      </w:r>
      <w:proofErr w:type="gramStart"/>
      <w:r>
        <w:rPr>
          <w:rFonts w:ascii="Times New Roman" w:hAnsi="Times New Roman"/>
          <w:b/>
          <w:color w:val="000000"/>
          <w:sz w:val="24"/>
        </w:rPr>
        <w:t>Supported</w:t>
      </w:r>
      <w:proofErr w:type="gramEnd"/>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66BE2B4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26 The applicant shall complete Part H of the project application “Non-economic activities”, which provides information on the conformity of the activities planned in the project application with Sub-paragraph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2C54BB2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27</w:t>
      </w:r>
      <w:r>
        <w:rPr>
          <w:rFonts w:ascii="Times New Roman" w:hAnsi="Times New Roman"/>
          <w:color w:val="000000"/>
          <w:sz w:val="28"/>
        </w:rPr>
        <w:t xml:space="preserve"> </w:t>
      </w:r>
      <w:r>
        <w:rPr>
          <w:rFonts w:ascii="Times New Roman" w:hAnsi="Times New Roman"/>
          <w:color w:val="000000"/>
          <w:sz w:val="24"/>
        </w:rPr>
        <w:t xml:space="preserve">The project applicant shall include the information on the eligible cost items of the project in Part </w:t>
      </w:r>
      <w:proofErr w:type="gramStart"/>
      <w:r>
        <w:rPr>
          <w:rFonts w:ascii="Times New Roman" w:hAnsi="Times New Roman"/>
          <w:color w:val="000000"/>
          <w:sz w:val="24"/>
        </w:rPr>
        <w:t>A</w:t>
      </w:r>
      <w:proofErr w:type="gramEnd"/>
      <w:r>
        <w:rPr>
          <w:rFonts w:ascii="Times New Roman" w:hAnsi="Times New Roman"/>
          <w:color w:val="000000"/>
          <w:sz w:val="24"/>
        </w:rPr>
        <w:t>,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Paragraph 14 of the Cabinet Regulation.</w:t>
      </w:r>
      <w:r>
        <w:rPr>
          <w:rFonts w:ascii="Times New Roman" w:hAnsi="Times New Roman"/>
          <w:sz w:val="24"/>
          <w:shd w:val="clear" w:color="auto" w:fill="FFFFFF"/>
        </w:rPr>
        <w:t> </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141B4A9A"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28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up to 15 (fifteen) per cent of the total amount of direct eligible costs referred to in Sub-paragraph 14.1 of the Cabinet Regulation, except for direct eligible costs referred to in Sub-paragraph 14.1.6 of this Regulation incurred in relation to the costs of external services (including work under enterprise contracts).</w:t>
      </w:r>
      <w:proofErr w:type="gramEnd"/>
      <w:r>
        <w:rPr>
          <w:rFonts w:ascii="Times New Roman" w:hAnsi="Times New Roman"/>
          <w:sz w:val="24"/>
        </w:rPr>
        <w:t xml:space="preserve">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w:t>
      </w:r>
      <w:proofErr w:type="gramStart"/>
      <w:r>
        <w:rPr>
          <w:rFonts w:ascii="Times New Roman" w:hAnsi="Times New Roman"/>
          <w:sz w:val="24"/>
        </w:rPr>
        <w:t>shall be shared</w:t>
      </w:r>
      <w:proofErr w:type="gramEnd"/>
      <w:r>
        <w:rPr>
          <w:rFonts w:ascii="Times New Roman" w:hAnsi="Times New Roman"/>
          <w:sz w:val="24"/>
        </w:rPr>
        <w:t xml:space="preserve"> between the project applicant and the cooperation partner(s) in proportion to the direct eligible costs of the project shared between the project applicant and the project partner(s). The project applicant, when preparing and submitting the financial report referred to in Sub-paragraph 44.1 of the Cabinet Regulation, shall not provide the information and supporting documents on the use of indirect eligible costs calculated at the flat rate of indirect costs laid down in Sub-paragraph 14.2 of the Cabinet Regulation.</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t>V. Procedures for the Preparation and Submission of the Project Application</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6EACBAFF" w:rsidR="00BD51BF"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 xml:space="preserve">29 The project application </w:t>
      </w:r>
      <w:proofErr w:type="gramStart"/>
      <w:r>
        <w:rPr>
          <w:rFonts w:ascii="Times New Roman" w:hAnsi="Times New Roman"/>
          <w:sz w:val="24"/>
        </w:rPr>
        <w:t>shall be completed and submitted to the Council in electronic form in the Information System within the deadline for the submission of project applications</w:t>
      </w:r>
      <w:proofErr w:type="gramEnd"/>
      <w:r>
        <w:rPr>
          <w:rFonts w:ascii="Times New Roman" w:hAnsi="Times New Roman"/>
          <w:sz w:val="24"/>
        </w:rPr>
        <w:t>.</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1791C915" w:rsidR="00282B1C" w:rsidRPr="00873793" w:rsidRDefault="001D04A6"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30 The applicant shall complete and submit the project application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6811D35E" w:rsidR="00254586" w:rsidRPr="00873793"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31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project applicant shall sign Part D of the project application “Applicant’s Confirmation” using a secure electronic signature with a time stamp.</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Evaluation of Project Applications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2664DBF" w:rsidR="00814BC4" w:rsidRPr="00873793" w:rsidRDefault="00254586" w:rsidP="00814BC4">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32 The administrative evaluation of project applications shall be carried out by the Council in conformity with Annex 3 to the By-laws,</w:t>
      </w:r>
      <w:r>
        <w:rPr>
          <w:rFonts w:ascii="Times New Roman" w:hAnsi="Times New Roman"/>
          <w:sz w:val="24"/>
          <w:shd w:val="clear" w:color="auto" w:fill="FFFFFF"/>
        </w:rPr>
        <w:t> </w:t>
      </w:r>
      <w:r>
        <w:rPr>
          <w:rFonts w:ascii="Times New Roman" w:hAnsi="Times New Roman"/>
          <w:sz w:val="24"/>
        </w:rPr>
        <w:t>“Methodology for the evaluation of the conformity of the project application with the administrative evaluation criteria”, assessing the conformity of the project application with the administrative criteria laid down in Paragraph 19 of the Cabinet Regulation and the supplementary administrative criteria laid down in Paragraph 33.3 of the By-laws within two calendar weeks from the deadline for the submission of project applications.</w:t>
      </w:r>
      <w:proofErr w:type="gramEnd"/>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79C142F1"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33 The project application </w:t>
      </w:r>
      <w:proofErr w:type="gramStart"/>
      <w:r>
        <w:rPr>
          <w:rFonts w:ascii="Times New Roman" w:hAnsi="Times New Roman"/>
          <w:sz w:val="24"/>
        </w:rPr>
        <w:t>will be assessed</w:t>
      </w:r>
      <w:proofErr w:type="gramEnd"/>
      <w:r>
        <w:rPr>
          <w:rFonts w:ascii="Times New Roman" w:hAnsi="Times New Roman"/>
          <w:sz w:val="24"/>
        </w:rPr>
        <w:t xml:space="preserve"> according to the following administrative evaluation criteria:</w:t>
      </w:r>
    </w:p>
    <w:p w14:paraId="177E3116" w14:textId="06321E5A" w:rsidR="005339EF" w:rsidRPr="00F97285" w:rsidRDefault="00814BC4" w:rsidP="00814BC4">
      <w:pPr>
        <w:spacing w:after="0" w:line="240" w:lineRule="auto"/>
        <w:ind w:firstLine="720"/>
        <w:jc w:val="both"/>
        <w:rPr>
          <w:rFonts w:ascii="Times New Roman" w:eastAsia="Times New Roman" w:hAnsi="Times New Roman" w:cs="Times New Roman"/>
          <w:color w:val="FF0000"/>
          <w:sz w:val="24"/>
          <w:szCs w:val="24"/>
        </w:rPr>
      </w:pPr>
      <w:r>
        <w:rPr>
          <w:rFonts w:ascii="Times New Roman" w:hAnsi="Times New Roman"/>
          <w:color w:val="FF0000"/>
          <w:sz w:val="24"/>
        </w:rPr>
        <w:t>33.1 The administrative criteria laid down in Sub-paragraphs 19.1 and 19.2 of the Cabinet Regulation, which are to be supplemented (hereinafter – the supplementary administrative criteria);</w:t>
      </w:r>
    </w:p>
    <w:p w14:paraId="59D84F0C" w14:textId="088768BE" w:rsidR="00814BC4" w:rsidRPr="00F97285" w:rsidRDefault="00814BC4" w:rsidP="00814BC4">
      <w:pPr>
        <w:spacing w:after="0" w:line="240" w:lineRule="auto"/>
        <w:ind w:firstLine="720"/>
        <w:jc w:val="both"/>
        <w:rPr>
          <w:rFonts w:ascii="Times New Roman" w:eastAsia="Times New Roman" w:hAnsi="Times New Roman" w:cs="Times New Roman"/>
          <w:color w:val="FF0000"/>
          <w:sz w:val="24"/>
          <w:szCs w:val="24"/>
        </w:rPr>
      </w:pPr>
      <w:r>
        <w:rPr>
          <w:rFonts w:ascii="Times New Roman" w:hAnsi="Times New Roman"/>
          <w:color w:val="FF0000"/>
          <w:sz w:val="24"/>
        </w:rPr>
        <w:t xml:space="preserve"> 33.2 The administrative criteria laid down in Sub-paragraphs 19.3, 19.4, 19.5, 19.6, 19.7 and 19.8 of the Cabinet Regulation, which are not supplementary (hereinafter – non-supplementary administrative criteria);</w:t>
      </w:r>
    </w:p>
    <w:p w14:paraId="1F29A721" w14:textId="4BC30D7B" w:rsidR="00D61807" w:rsidRPr="00F97285" w:rsidRDefault="00814BC4" w:rsidP="00D61807">
      <w:pPr>
        <w:tabs>
          <w:tab w:val="left" w:pos="2142"/>
        </w:tabs>
        <w:spacing w:after="0" w:line="240" w:lineRule="auto"/>
        <w:ind w:firstLine="720"/>
        <w:jc w:val="both"/>
        <w:rPr>
          <w:rFonts w:ascii="Times New Roman" w:eastAsia="Times New Roman" w:hAnsi="Times New Roman" w:cs="Times New Roman"/>
          <w:color w:val="FF0000"/>
          <w:sz w:val="24"/>
          <w:szCs w:val="24"/>
        </w:rPr>
      </w:pPr>
      <w:r>
        <w:rPr>
          <w:rFonts w:ascii="Times New Roman" w:hAnsi="Times New Roman"/>
          <w:color w:val="FF0000"/>
          <w:sz w:val="24"/>
        </w:rPr>
        <w:t xml:space="preserve">33.3 </w:t>
      </w:r>
      <w:proofErr w:type="gramStart"/>
      <w:r>
        <w:rPr>
          <w:rFonts w:ascii="Times New Roman" w:hAnsi="Times New Roman"/>
          <w:color w:val="FF0000"/>
          <w:sz w:val="24"/>
        </w:rPr>
        <w:t>in</w:t>
      </w:r>
      <w:proofErr w:type="gramEnd"/>
      <w:r>
        <w:rPr>
          <w:rFonts w:ascii="Times New Roman" w:hAnsi="Times New Roman"/>
          <w:color w:val="FF0000"/>
          <w:sz w:val="24"/>
        </w:rPr>
        <w:t xml:space="preserve"> addition to the administrative criteria which cannot be supplemented:</w:t>
      </w:r>
    </w:p>
    <w:p w14:paraId="4C3933EC" w14:textId="14E8F6A9"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33.3.1 </w:t>
      </w:r>
      <w:proofErr w:type="gramStart"/>
      <w:r>
        <w:rPr>
          <w:rFonts w:ascii="Times New Roman" w:hAnsi="Times New Roman"/>
          <w:sz w:val="24"/>
        </w:rPr>
        <w:t>shall</w:t>
      </w:r>
      <w:proofErr w:type="gramEnd"/>
      <w:r>
        <w:rPr>
          <w:rFonts w:ascii="Times New Roman" w:hAnsi="Times New Roman"/>
          <w:sz w:val="24"/>
        </w:rPr>
        <w:t xml:space="preserve"> cover all the common (horizontal) objectives of the programme as defined in Paragraph 8 of the Cabinet Order;</w:t>
      </w:r>
    </w:p>
    <w:p w14:paraId="4989B13C" w14:textId="11FEB2F1" w:rsidR="00814BC4" w:rsidRPr="00F97285"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33.3.2 </w:t>
      </w:r>
      <w:proofErr w:type="gramStart"/>
      <w:r>
        <w:rPr>
          <w:rFonts w:ascii="Times New Roman" w:hAnsi="Times New Roman"/>
          <w:sz w:val="24"/>
        </w:rPr>
        <w:t>cover</w:t>
      </w:r>
      <w:proofErr w:type="gramEnd"/>
      <w:r>
        <w:rPr>
          <w:rFonts w:ascii="Times New Roman" w:hAnsi="Times New Roman"/>
          <w:sz w:val="24"/>
        </w:rPr>
        <w:t xml:space="preserve"> all the results laid down in Paragraph 9 of the Cabinet Order to be achieved </w:t>
      </w:r>
      <w:r>
        <w:rPr>
          <w:rFonts w:ascii="Times New Roman" w:hAnsi="Times New Roman"/>
          <w:sz w:val="24"/>
          <w:shd w:val="clear" w:color="auto" w:fill="FFFFFF"/>
        </w:rPr>
        <w:t>during the programme implementation</w:t>
      </w:r>
      <w:r>
        <w:rPr>
          <w:rFonts w:ascii="Times New Roman" w:hAnsi="Times New Roman"/>
          <w:sz w:val="24"/>
        </w:rPr>
        <w:t>.</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5D35FA61" w:rsidR="00814BC4" w:rsidRPr="00873793"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34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By-laws “Administrative Assessment Criteria Form”, taking into account Paragraph 20</w:t>
      </w:r>
      <w:r>
        <w:rPr>
          <w:rFonts w:ascii="Times New Roman" w:hAnsi="Times New Roman"/>
          <w:sz w:val="24"/>
          <w:shd w:val="clear" w:color="auto" w:fill="FFFFFF"/>
        </w:rPr>
        <w:t> </w:t>
      </w:r>
      <w:r>
        <w:rPr>
          <w:rFonts w:ascii="Times New Roman" w:hAnsi="Times New Roman"/>
          <w:sz w:val="24"/>
        </w:rPr>
        <w:t>of the Cabinet Regulation.</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7D491FD2" w14:textId="42B2DF37" w:rsidR="0056745D" w:rsidRPr="0056745D" w:rsidRDefault="00814BC4" w:rsidP="0056745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35 If the project application does not meet one of the administrative criteria:</w:t>
      </w:r>
    </w:p>
    <w:p w14:paraId="7956A84E" w14:textId="13121022" w:rsidR="0056745D" w:rsidRPr="0056745D" w:rsidRDefault="0056745D" w:rsidP="0056745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35.1 If the project application does not meet any of the supplementary administrative criteria, the Council shall request the applicant to update the project application by sending a letter to the applicant’s official e-mail address. The applicant shall submit the updates within one working day of the date of the Council’s letter by sending a letter to the Council’s official e-mail address: pasts@lzp.gov.lv</w:t>
      </w:r>
      <w:proofErr w:type="gramStart"/>
      <w:r>
        <w:rPr>
          <w:rFonts w:ascii="Times New Roman" w:hAnsi="Times New Roman"/>
          <w:sz w:val="24"/>
        </w:rPr>
        <w:t>;</w:t>
      </w:r>
      <w:proofErr w:type="gramEnd"/>
      <w:r>
        <w:rPr>
          <w:rFonts w:ascii="Times New Roman" w:hAnsi="Times New Roman"/>
          <w:sz w:val="24"/>
        </w:rPr>
        <w:t xml:space="preserve"> </w:t>
      </w:r>
    </w:p>
    <w:p w14:paraId="5D804A07" w14:textId="37CD637E" w:rsidR="00814BC4" w:rsidRPr="00873793" w:rsidRDefault="0056745D" w:rsidP="0056745D">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35.2 If a project application does not comply with one of the non-additional administrative criteria or if a project application does not comply with one of the additional administrative criteria which is not fulfilled after the submission of an updated project application, the Council shall, after the completion of the administrative evaluation, send to the Programme Implementation and Monitoring Commission (hereinafter – the Commission) a list of project applications evaluated against the administrative criteria which do not comply with the administrative criteria laid down in the By-laws, together with the reasons for each non-compliance.</w:t>
      </w:r>
      <w:proofErr w:type="gramEnd"/>
      <w:r>
        <w:rPr>
          <w:rFonts w:ascii="Times New Roman" w:hAnsi="Times New Roman"/>
          <w:sz w:val="24"/>
        </w:rPr>
        <w:t xml:space="preserve"> The Commission shall evaluate the abovementioned list and, in accordance with Sub-paragraph 8.3.2 of the Cabinet Regulation, make a decision to reject the project application.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Evaluation of the Project Application</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420D40E6"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36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proofErr w:type="gramStart"/>
      <w:r>
        <w:rPr>
          <w:rFonts w:ascii="Times New Roman" w:hAnsi="Times New Roman"/>
          <w:sz w:val="24"/>
        </w:rPr>
        <w:t>of</w:t>
      </w:r>
      <w:proofErr w:type="gramEnd"/>
      <w:r>
        <w:rPr>
          <w:rFonts w:ascii="Times New Roman" w:hAnsi="Times New Roman"/>
          <w:sz w:val="24"/>
        </w:rPr>
        <w:t xml:space="preserve"> the Cabinet Regulation, organise the scientific expert-examination of project applications (hereinafter – the expert-examination), carrying out the evaluation measures laid down in Chapter VII of the regulations.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6768F4A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37 For the evaluation of the project application, the Council shall, in accordance with Sub-paragraph 7.5 of the Cabinet Regulation, select and engage two or more scientific experts (hereinafter – the expert) who meet the requirements laid down in Paragraphs 23 and 24 of the Cabinet Regulation in order to qualify for the evaluation tasks specified in Paragraphs 6 and 7 of the Cabinet Order.</w:t>
      </w:r>
      <w:proofErr w:type="gramEnd"/>
      <w:r>
        <w:rPr>
          <w:rFonts w:ascii="Times New Roman" w:hAnsi="Times New Roman"/>
          <w:sz w:val="24"/>
        </w:rPr>
        <w:t xml:space="preserve"> An expert may carry out the evaluation of several project applications according to his/her scientific qualifications and experience.</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48FA599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38 The Council shall ensure that the expert who has agreed to carry out the evaluation of the project application signs and submits to the Council the documents referred to in Annex 5 to the By-laws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68D2770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39.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ith each" w:value="Padome ar katru"/>
          </w:dropDownList>
        </w:sdtPr>
        <w:sdtEndPr/>
        <w:sdtContent>
          <w:r>
            <w:rPr>
              <w:rFonts w:ascii="Times New Roman" w:hAnsi="Times New Roman"/>
              <w:sz w:val="24"/>
            </w:rPr>
            <w:t>The Council shall, with each</w:t>
          </w:r>
        </w:sdtContent>
      </w:sdt>
      <w:r>
        <w:rPr>
          <w:rFonts w:ascii="Times New Roman" w:hAnsi="Times New Roman"/>
          <w:sz w:val="24"/>
        </w:rPr>
        <w:t xml:space="preserve"> expert, enter into agreement to carry out the expert-examination using the procedure laid down in Annex 6</w:t>
      </w:r>
      <w:r>
        <w:rPr>
          <w:rFonts w:ascii="Times New Roman" w:hAnsi="Times New Roman"/>
          <w:sz w:val="24"/>
          <w:shd w:val="clear" w:color="auto" w:fill="FFFFFF"/>
        </w:rPr>
        <w:t> </w:t>
      </w:r>
      <w:r>
        <w:rPr>
          <w:rFonts w:ascii="Times New Roman" w:hAnsi="Times New Roman"/>
          <w:sz w:val="24"/>
        </w:rPr>
        <w:t xml:space="preserve">to the By-laws “Agreement on the performance of an expert-examination” (hereinafter – the Expert-examination agreement). </w:t>
      </w:r>
      <w:r>
        <w:rPr>
          <w:rFonts w:ascii="Times New Roman" w:hAnsi="Times New Roman"/>
          <w:sz w:val="24"/>
          <w:shd w:val="clear" w:color="auto" w:fill="FFFFFF"/>
        </w:rPr>
        <w:t xml:space="preserve">The Expert-examination agreement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contracting process in conformity with the content of the project application and the specificities of the expert-examination.</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1E33C8D3" w:rsidR="00FB1CC6" w:rsidRPr="00873793" w:rsidRDefault="00EB1C29"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The Expert shall evaluate the project application by awarding one to five points for each scientific evaluation criterion laid down in Paragraph 26 of the Cabinet Regulation as follows:</w:t>
      </w:r>
    </w:p>
    <w:p w14:paraId="0FB480F6" w14:textId="61FA187E"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40.1 </w:t>
      </w:r>
      <w:proofErr w:type="gramStart"/>
      <w:r>
        <w:rPr>
          <w:rFonts w:ascii="Times New Roman" w:hAnsi="Times New Roman"/>
          <w:sz w:val="24"/>
        </w:rPr>
        <w:t>the</w:t>
      </w:r>
      <w:proofErr w:type="gramEnd"/>
      <w:r>
        <w:rPr>
          <w:rFonts w:ascii="Times New Roman" w:hAnsi="Times New Roman"/>
          <w:sz w:val="24"/>
        </w:rPr>
        <w:t xml:space="preserve"> scientific quality of the project in conformity with the consideration laid down in Paragraph 27</w:t>
      </w:r>
      <w:r>
        <w:rPr>
          <w:rFonts w:ascii="Times New Roman" w:hAnsi="Times New Roman"/>
          <w:sz w:val="24"/>
          <w:shd w:val="clear" w:color="auto" w:fill="FFFFFF"/>
        </w:rPr>
        <w:t> </w:t>
      </w:r>
      <w:r>
        <w:rPr>
          <w:rFonts w:ascii="Times New Roman" w:hAnsi="Times New Roman"/>
          <w:sz w:val="24"/>
        </w:rPr>
        <w:t>of the Cabinet Regulation;</w:t>
      </w:r>
    </w:p>
    <w:p w14:paraId="1AC41A96" w14:textId="3CD74C99"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40.2 </w:t>
      </w:r>
      <w:proofErr w:type="gramStart"/>
      <w:r>
        <w:rPr>
          <w:rFonts w:ascii="Times New Roman" w:hAnsi="Times New Roman"/>
          <w:sz w:val="24"/>
        </w:rPr>
        <w:t>the</w:t>
      </w:r>
      <w:proofErr w:type="gramEnd"/>
      <w:r>
        <w:rPr>
          <w:rFonts w:ascii="Times New Roman" w:hAnsi="Times New Roman"/>
          <w:sz w:val="24"/>
        </w:rPr>
        <w:t xml:space="preserve"> impact of the project results in conformity with the considerations laid down in Paragraph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183ACD86"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40.3 </w:t>
      </w:r>
      <w:proofErr w:type="gramStart"/>
      <w:r>
        <w:rPr>
          <w:rFonts w:ascii="Times New Roman" w:hAnsi="Times New Roman"/>
          <w:sz w:val="24"/>
        </w:rPr>
        <w:t>the</w:t>
      </w:r>
      <w:proofErr w:type="gramEnd"/>
      <w:r>
        <w:rPr>
          <w:rFonts w:ascii="Times New Roman" w:hAnsi="Times New Roman"/>
          <w:sz w:val="24"/>
        </w:rPr>
        <w:t xml:space="preserve"> feasibility of the project and provision in conformity with the considerations laid down in Paragraph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37B65B9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41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By-laws “Individual/consolidated assessment form for the expert-examination of the project application” in accordance with Annex 7</w:t>
      </w:r>
      <w:r>
        <w:rPr>
          <w:rFonts w:ascii="Times New Roman" w:hAnsi="Times New Roman"/>
          <w:sz w:val="24"/>
          <w:shd w:val="clear" w:color="auto" w:fill="FFFFFF"/>
        </w:rPr>
        <w:t> </w:t>
      </w:r>
      <w:r>
        <w:rPr>
          <w:rFonts w:ascii="Times New Roman" w:hAnsi="Times New Roman"/>
          <w:sz w:val="24"/>
        </w:rPr>
        <w:t>to the By-laws “Methodology for carrying out the expert-examination (for the project application, mid-term/closing scientific report of the project)” (hereinafter – the Methodology for carrying out the expert-examination).</w:t>
      </w:r>
      <w:proofErr w:type="gramEnd"/>
      <w:r>
        <w:rPr>
          <w:rFonts w:ascii="Times New Roman" w:hAnsi="Times New Roman"/>
          <w:sz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5DFA39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42 After receipt of the individual experts assessments on all project applications in the Information System, the Council shall, </w:t>
      </w:r>
      <w:bookmarkStart w:id="5" w:name="_Hlk78479653"/>
      <w:r>
        <w:rPr>
          <w:rFonts w:ascii="Times New Roman" w:hAnsi="Times New Roman"/>
          <w:sz w:val="24"/>
        </w:rPr>
        <w:t>via online videoconference (real-time video and audio transmission)</w:t>
      </w:r>
      <w:bookmarkEnd w:id="5"/>
      <w:r>
        <w:rPr>
          <w:rFonts w:ascii="Times New Roman" w:hAnsi="Times New Roman"/>
          <w:sz w:val="24"/>
        </w:rPr>
        <w:t>organise and implement an expert panel discussion for the experts responsible for the preparation of the consolidated expert evaluation of the project applications, setting up an expert panel for all the tasks of sub-programmes referred to in Paragraphs 6 and 7 of the Cabinet Order (hereinafter – the panel).</w:t>
      </w:r>
      <w:proofErr w:type="gramEnd"/>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02F1A2A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43 If only one project application is submitted for the implementation of the tasks laid down in Paragraphs 6 and 7 of the Cabinet Regulation, the Council shall not organise a panel on that project application and the expert-examination of such project application shall be carried out in accordance with the procedure laid down in Paragraph 25 of the Cabinet Regulation.</w:t>
      </w:r>
      <w:proofErr w:type="gramEnd"/>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38A6829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44 Within three working days of the conclusion of the panel, the expert responsible for the preparation of the expert consolidated evaluation of the project application concerned, taking into account the individual expert evaluations of the project application concerned, shall complete the consolidated expert evaluation form for that project application (hereinafter – the consolidated expert evaluation) in the Information System, having regard to Annex 8</w:t>
      </w:r>
      <w:r>
        <w:rPr>
          <w:rFonts w:ascii="Times New Roman" w:hAnsi="Times New Roman"/>
          <w:sz w:val="24"/>
          <w:shd w:val="clear" w:color="auto" w:fill="FFFFFF"/>
        </w:rPr>
        <w:t> </w:t>
      </w:r>
      <w:r>
        <w:rPr>
          <w:rFonts w:ascii="Times New Roman" w:hAnsi="Times New Roman"/>
          <w:sz w:val="24"/>
        </w:rPr>
        <w:t>to the By-laws “Individual/consolidated assessment form for the examination of the project application”, and within three working days agree it with the other experts involved in the expert-examination of the relevant project application who have individually assessed the project application and submit it to the information system.</w:t>
      </w:r>
      <w:proofErr w:type="gramEnd"/>
      <w:r>
        <w:rPr>
          <w:rFonts w:ascii="Times New Roman" w:hAnsi="Times New Roman"/>
          <w:sz w:val="24"/>
        </w:rPr>
        <w:t xml:space="preserve"> </w:t>
      </w:r>
      <w:bookmarkStart w:id="6" w:name="_Hlk79571312"/>
      <w:r>
        <w:rPr>
          <w:rFonts w:ascii="Times New Roman" w:hAnsi="Times New Roman"/>
          <w:sz w:val="24"/>
        </w:rPr>
        <w:t xml:space="preserve">If the experts are unable to agree on a consolidated assessment due to a difference of opinion, the experts shall inform the Council. </w:t>
      </w:r>
      <w:proofErr w:type="gramStart"/>
      <w:r>
        <w:rPr>
          <w:rFonts w:ascii="Times New Roman" w:hAnsi="Times New Roman"/>
          <w:sz w:val="24"/>
        </w:rPr>
        <w:t>In this case, the Council shall engage an additional expert (hereinafter referred to as the additional expert) who shall first carry out an individual evaluation of the project application concerned within the time limit and in accordance with the procedures laid down in Paragraph 41 of the By-laws, submitting the expert’s individual evaluation, and then the additional expert shall consult the individual evaluations of the original experts.</w:t>
      </w:r>
      <w:proofErr w:type="gramEnd"/>
      <w:r>
        <w:rPr>
          <w:rFonts w:ascii="Times New Roman" w:hAnsi="Times New Roman"/>
          <w:sz w:val="24"/>
        </w:rPr>
        <w:t xml:space="preserve">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6"/>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5D85BA1A" w14:textId="3D4FA174" w:rsidR="004F61D7"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45 The expert </w:t>
      </w:r>
      <w:proofErr w:type="gramStart"/>
      <w:r>
        <w:rPr>
          <w:rFonts w:ascii="Times New Roman" w:hAnsi="Times New Roman"/>
          <w:sz w:val="24"/>
        </w:rPr>
        <w:t>is only allowed</w:t>
      </w:r>
      <w:proofErr w:type="gramEnd"/>
      <w:r>
        <w:rPr>
          <w:rFonts w:ascii="Times New Roman" w:hAnsi="Times New Roman"/>
          <w:sz w:val="24"/>
        </w:rPr>
        <w:t xml:space="preserve"> to assess 15 pages of the project application, with up to three additional pages if there are supporting documents from the social partners, letters of recommendation on cooperation, etc.</w:t>
      </w:r>
    </w:p>
    <w:p w14:paraId="0B42B139" w14:textId="77777777" w:rsidR="009A676F" w:rsidRPr="009A676F" w:rsidRDefault="009A676F" w:rsidP="00254586">
      <w:pPr>
        <w:spacing w:after="0" w:line="240" w:lineRule="auto"/>
        <w:jc w:val="both"/>
        <w:rPr>
          <w:rFonts w:ascii="Times New Roman" w:eastAsia="Times New Roman" w:hAnsi="Times New Roman" w:cs="Times New Roman"/>
          <w:sz w:val="24"/>
          <w:szCs w:val="24"/>
        </w:rPr>
      </w:pPr>
    </w:p>
    <w:p w14:paraId="05A7078D" w14:textId="77E282F0" w:rsidR="005D3DB1" w:rsidRPr="00873793"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t>46</w:t>
      </w:r>
      <w:r>
        <w:rPr>
          <w:rFonts w:ascii="Times New Roman" w:hAnsi="Times New Roman"/>
          <w:sz w:val="24"/>
        </w:rPr>
        <w:t xml:space="preserve">. </w:t>
      </w:r>
      <w:bookmarkStart w:id="7" w:name="_Hlk135660507"/>
      <w:r>
        <w:rPr>
          <w:rFonts w:ascii="Times New Roman" w:hAnsi="Times New Roman"/>
          <w:sz w:val="24"/>
        </w:rPr>
        <w:t>On the basis of the consolidated expert evaluations submitted in the Information System, the Council shall, within three working days, calculate in the Information System the consolidated score for each project application (hereinafter – the consolidated score) using the following formula,</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73D95521" w14:textId="16763CB4"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46.1 K – consolidated score</w:t>
      </w:r>
      <w:proofErr w:type="gramStart"/>
      <w:r>
        <w:rPr>
          <w:rFonts w:ascii="Times New Roman" w:hAnsi="Times New Roman"/>
          <w:sz w:val="24"/>
        </w:rPr>
        <w:t>;</w:t>
      </w:r>
      <w:proofErr w:type="gramEnd"/>
    </w:p>
    <w:p w14:paraId="73A3D9EE" w14:textId="0DD347BA"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46.2 A- assessment of the criterion (scientific quality of the project) referred to in Paragraph 27 of the Cabinet Regulation and its ratio is 30% of the consolidated mark (K)</w:t>
      </w:r>
      <w:proofErr w:type="gramStart"/>
      <w:r>
        <w:rPr>
          <w:rFonts w:ascii="Times New Roman" w:hAnsi="Times New Roman"/>
          <w:sz w:val="24"/>
        </w:rPr>
        <w:t>;</w:t>
      </w:r>
      <w:proofErr w:type="gramEnd"/>
    </w:p>
    <w:p w14:paraId="6FEC84E8" w14:textId="50DA024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46.3 B- assessment of the criterion (impact of project results) referred to in Paragraph 28 of the Cabinet Regulation and its ratio is 50% of the consolidated score (K);</w:t>
      </w:r>
    </w:p>
    <w:p w14:paraId="5FB3A573" w14:textId="5B9C16A0"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46.4 C - assessment of the scientific criterion (feasibility of the project implementation and provision) referred to in Paragraph 29 of the Cabinet </w:t>
      </w:r>
      <w:proofErr w:type="gramStart"/>
      <w:r>
        <w:rPr>
          <w:rFonts w:ascii="Times New Roman" w:hAnsi="Times New Roman"/>
          <w:sz w:val="24"/>
        </w:rPr>
        <w:t xml:space="preserve">Regulation </w:t>
      </w:r>
      <w:r>
        <w:rPr>
          <w:rFonts w:ascii="Times New Roman" w:hAnsi="Times New Roman"/>
          <w:sz w:val="24"/>
          <w:shd w:val="clear" w:color="auto" w:fill="FFFFFF"/>
        </w:rPr>
        <w:t> </w:t>
      </w:r>
      <w:r>
        <w:rPr>
          <w:rFonts w:ascii="Times New Roman" w:hAnsi="Times New Roman"/>
          <w:sz w:val="24"/>
        </w:rPr>
        <w:t>and</w:t>
      </w:r>
      <w:proofErr w:type="gramEnd"/>
      <w:r>
        <w:rPr>
          <w:rFonts w:ascii="Times New Roman" w:hAnsi="Times New Roman"/>
          <w:sz w:val="24"/>
        </w:rPr>
        <w:t xml:space="preserve"> its ratio is in the amount of 20% of the consolidated assessment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7FCE2839" w:rsidR="005D3DB1" w:rsidRDefault="005D3DB1" w:rsidP="005D3DB1">
      <w:pPr>
        <w:spacing w:after="0" w:line="240" w:lineRule="auto"/>
        <w:ind w:firstLine="709"/>
        <w:jc w:val="both"/>
        <w:rPr>
          <w:rFonts w:ascii="Times New Roman" w:hAnsi="Times New Roman" w:cs="Times New Roman"/>
        </w:rPr>
      </w:pPr>
      <w:proofErr w:type="gramStart"/>
      <w:r>
        <w:rPr>
          <w:rFonts w:ascii="Times New Roman" w:hAnsi="Times New Roman"/>
          <w:sz w:val="24"/>
        </w:rPr>
        <w:t>47 The quality threshold for the consolidated peer review referred to in Paragraph 46 of the By-Laws for the criterion laid down in Sub-Paragraph 26.1 of the Cabinet Regulation (scientific quality of the project), at least three points for the criterion laid down in Sub-Paragraph 26.2 of the Cabinet Regulation (impact of the project results), at least three points for the criterion laid down in Sub-Paragraph 26.3 of the Cabinet Regulation (feasibility and support) and at least ten points for all scientific criteria laid down in Paragraph 26 of the Cabinet Regulation in total.</w:t>
      </w:r>
      <w:proofErr w:type="gramEnd"/>
      <w:r>
        <w:rPr>
          <w:rFonts w:ascii="Times New Roman" w:hAnsi="Times New Roman"/>
        </w:rPr>
        <w:t xml:space="preserve"> </w:t>
      </w:r>
    </w:p>
    <w:p w14:paraId="51802C6F" w14:textId="77777777" w:rsidR="00B80451" w:rsidRDefault="00B80451" w:rsidP="005D3DB1">
      <w:pPr>
        <w:spacing w:after="0" w:line="240" w:lineRule="auto"/>
        <w:ind w:firstLine="709"/>
        <w:jc w:val="both"/>
        <w:rPr>
          <w:rFonts w:ascii="Times New Roman" w:hAnsi="Times New Roman" w:cs="Times New Roman"/>
        </w:rPr>
      </w:pPr>
    </w:p>
    <w:p w14:paraId="670AEA8B" w14:textId="77777777" w:rsidR="00B80451" w:rsidRPr="00B80451" w:rsidRDefault="00B80451" w:rsidP="00B804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48 The Council shall forward to the Commission:</w:t>
      </w:r>
    </w:p>
    <w:p w14:paraId="28D4BF3F" w14:textId="6E9CE095" w:rsidR="00B80451" w:rsidRPr="00B80451" w:rsidRDefault="00B80451" w:rsidP="00B804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48.1 the list of the expert-examinations of the project applications within five working days of the date of submission of the consolidated assessments of experts of all project applications to the information system and application of the formula in Paragraph 46 of the By-laws. This list shall rank the project applications in order of priority according to the score obtained in the consolidated assessment, in accordance with that laid down in Paragraph 32 of the Cabinet Regulation, and shall make the project applications included in this list and the consolidated assessments of experts available in the information system in read-only mode;</w:t>
      </w:r>
    </w:p>
    <w:p w14:paraId="67522249" w14:textId="04B9AB2F" w:rsidR="00B80451" w:rsidRPr="00873793" w:rsidRDefault="00B80451" w:rsidP="00B8045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48.2 </w:t>
      </w:r>
      <w:proofErr w:type="gramStart"/>
      <w:r>
        <w:rPr>
          <w:rFonts w:ascii="Times New Roman" w:hAnsi="Times New Roman"/>
          <w:sz w:val="24"/>
        </w:rPr>
        <w:t>a</w:t>
      </w:r>
      <w:proofErr w:type="gramEnd"/>
      <w:r>
        <w:rPr>
          <w:rFonts w:ascii="Times New Roman" w:hAnsi="Times New Roman"/>
          <w:sz w:val="24"/>
        </w:rPr>
        <w:t xml:space="preserve"> summary of the recommendations made by the experts in their consolidated evaluations for each project application (hereinafter – the experts recommendations).</w:t>
      </w:r>
    </w:p>
    <w:p w14:paraId="23938C69" w14:textId="77777777" w:rsidR="005D3DB1" w:rsidRDefault="005D3DB1" w:rsidP="005D3DB1">
      <w:pPr>
        <w:spacing w:after="0" w:line="240" w:lineRule="auto"/>
        <w:jc w:val="both"/>
        <w:rPr>
          <w:rFonts w:ascii="Times New Roman" w:eastAsia="Times New Roman" w:hAnsi="Times New Roman" w:cs="Times New Roman"/>
          <w:sz w:val="24"/>
          <w:szCs w:val="24"/>
        </w:rPr>
      </w:pPr>
    </w:p>
    <w:p w14:paraId="1335ADF5" w14:textId="77777777" w:rsidR="004F61D7" w:rsidRPr="00AC2BB6" w:rsidRDefault="004F61D7" w:rsidP="00AC2BB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xml:space="preserve">VIII. Evaluation of Project Applications </w:t>
      </w:r>
      <w:proofErr w:type="gramStart"/>
      <w:r>
        <w:rPr>
          <w:rFonts w:ascii="Times New Roman" w:hAnsi="Times New Roman"/>
          <w:b/>
          <w:sz w:val="24"/>
        </w:rPr>
        <w:t>Against</w:t>
      </w:r>
      <w:proofErr w:type="gramEnd"/>
      <w:r>
        <w:rPr>
          <w:rFonts w:ascii="Times New Roman" w:hAnsi="Times New Roman"/>
          <w:b/>
          <w:sz w:val="24"/>
        </w:rPr>
        <w:t xml:space="preserve"> Sector-specific Criteria</w:t>
      </w:r>
    </w:p>
    <w:p w14:paraId="0D5F3F96" w14:textId="77777777" w:rsidR="004F61D7" w:rsidRPr="004F61D7" w:rsidRDefault="004F61D7" w:rsidP="004F61D7">
      <w:pPr>
        <w:spacing w:after="0" w:line="240" w:lineRule="auto"/>
        <w:jc w:val="both"/>
        <w:rPr>
          <w:rFonts w:ascii="Times New Roman" w:eastAsia="Times New Roman" w:hAnsi="Times New Roman" w:cs="Times New Roman"/>
          <w:sz w:val="24"/>
          <w:szCs w:val="24"/>
        </w:rPr>
      </w:pPr>
    </w:p>
    <w:p w14:paraId="1A171E15" w14:textId="57E1824B" w:rsidR="004F61D7" w:rsidRPr="004F61D7" w:rsidRDefault="004F61D7" w:rsidP="00AC2BB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49 The Commission, upon receipt of the list referred to in Paragraph 48 of these By-laws, shall, within one week, evaluate the project applications against the following specific criteria in accordance with Annex 9 to these By-laws, “Methodology for assessing the eligibility of a project application according to sector-specific criteria” (hereinafter – the sector-specific criteria), by completing Annex 10 to these By-laws “Individual/overall sector-specific evaluation criteria form”:</w:t>
      </w:r>
      <w:proofErr w:type="gramEnd"/>
      <w:r>
        <w:rPr>
          <w:rFonts w:ascii="Times New Roman" w:hAnsi="Times New Roman"/>
          <w:sz w:val="24"/>
        </w:rPr>
        <w:t xml:space="preserve"> </w:t>
      </w:r>
    </w:p>
    <w:p w14:paraId="490F4C7A" w14:textId="77777777" w:rsidR="009C7DBA" w:rsidRDefault="004F61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49.1</w:t>
      </w:r>
      <w:r>
        <w:t xml:space="preserve"> </w:t>
      </w:r>
      <w:proofErr w:type="gramStart"/>
      <w:r>
        <w:rPr>
          <w:rFonts w:ascii="Times New Roman" w:hAnsi="Times New Roman"/>
          <w:sz w:val="24"/>
        </w:rPr>
        <w:t>an</w:t>
      </w:r>
      <w:proofErr w:type="gramEnd"/>
      <w:r>
        <w:rPr>
          <w:rFonts w:ascii="Times New Roman" w:hAnsi="Times New Roman"/>
          <w:sz w:val="24"/>
        </w:rPr>
        <w:t xml:space="preserve"> assessment of the actions and results planned in the project application:</w:t>
      </w:r>
    </w:p>
    <w:p w14:paraId="45E2A445" w14:textId="77777777" w:rsidR="009C7DBA" w:rsidRDefault="009C7DBA" w:rsidP="00AC2BB6">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49.1.1 </w:t>
      </w:r>
      <w:proofErr w:type="gramStart"/>
      <w:r>
        <w:rPr>
          <w:rFonts w:ascii="Times New Roman" w:hAnsi="Times New Roman"/>
          <w:sz w:val="24"/>
        </w:rPr>
        <w:t>the</w:t>
      </w:r>
      <w:proofErr w:type="gramEnd"/>
      <w:r>
        <w:rPr>
          <w:rFonts w:ascii="Times New Roman" w:hAnsi="Times New Roman"/>
          <w:sz w:val="24"/>
        </w:rPr>
        <w:t xml:space="preserve"> actions planned in the project application shall be in line with the objectives and sub-objectives laid down  in the By-laws and involve the use of data- and evidence-based methodological approaches that could contribute to achieving the defined objectives of the programme ;</w:t>
      </w:r>
    </w:p>
    <w:p w14:paraId="14396E8E" w14:textId="77777777" w:rsidR="009C7DBA" w:rsidRDefault="009C7DBA" w:rsidP="00AC2BB6">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49.1.2  the planned actions have been developed on the basis of an understanding of the existing situation in the sector – current issues, problems and trends in the field of the thematic objective, including previous experience of the project promoters in addressing them, e.g. through applied research, sectoral working groups, cooperation with sectoral public organisations;</w:t>
      </w:r>
    </w:p>
    <w:p w14:paraId="5086D84F" w14:textId="1AAB9F91" w:rsidR="00C9354F" w:rsidRDefault="009C7DBA" w:rsidP="00AC2BB6">
      <w:pPr>
        <w:spacing w:after="0" w:line="240" w:lineRule="auto"/>
        <w:ind w:left="709"/>
        <w:jc w:val="both"/>
        <w:rPr>
          <w:rFonts w:ascii="Times New Roman" w:eastAsia="Times New Roman" w:hAnsi="Times New Roman" w:cs="Times New Roman"/>
          <w:sz w:val="24"/>
          <w:szCs w:val="24"/>
        </w:rPr>
      </w:pPr>
      <w:proofErr w:type="gramStart"/>
      <w:r>
        <w:rPr>
          <w:rFonts w:ascii="Times New Roman" w:hAnsi="Times New Roman"/>
          <w:sz w:val="24"/>
        </w:rPr>
        <w:t>49.1.3  The planned actions shall be carried out using appropriate material and technical resources and the promoters of the project application have appropriate research expertise and experience, as evidenced by the strategic area of specialisation of the institutions involved or by the experience of the project leader and main contractors involved (signed curriculum vitae of the project leader and main contractors attached to Part C “Curriculum Vitae” of the project application and signed statements of other institutions involved in the implementation of the project application, if planned, attached to Part J “Other documents” of the project application, signed by the signatory);</w:t>
      </w:r>
      <w:proofErr w:type="gramEnd"/>
    </w:p>
    <w:p w14:paraId="3CA25A76" w14:textId="1E4B7CC1" w:rsidR="004F61D7" w:rsidRDefault="004F61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49.2 Assessment of the results provided for in the project application:</w:t>
      </w:r>
    </w:p>
    <w:p w14:paraId="3A3BF957" w14:textId="48FBB439" w:rsidR="00C9354F" w:rsidRDefault="00C9354F" w:rsidP="00AC2BB6">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49.2.1 it is intended in the result of researches to prepare and submit to the Ministry of Agriculture the reports with concrete proposals, solutions for each thematic task and sub-task defined in the By-laws, including taking into account national and European Union policies and trends in the respective thematic task area;</w:t>
      </w:r>
    </w:p>
    <w:p w14:paraId="68B8C79B" w14:textId="1B7C7CB0" w:rsidR="00C9354F" w:rsidRPr="00410DE8" w:rsidRDefault="00C9354F" w:rsidP="00AC2BB6">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49.2.2 </w:t>
      </w:r>
      <w:proofErr w:type="gramStart"/>
      <w:r>
        <w:rPr>
          <w:rFonts w:ascii="Times New Roman" w:hAnsi="Times New Roman"/>
          <w:sz w:val="24"/>
        </w:rPr>
        <w:t>the</w:t>
      </w:r>
      <w:proofErr w:type="gramEnd"/>
      <w:r>
        <w:rPr>
          <w:rFonts w:ascii="Times New Roman" w:hAnsi="Times New Roman"/>
          <w:sz w:val="24"/>
        </w:rPr>
        <w:t xml:space="preserve"> research will lead to the development of original solutions, new services, products and innovative technologies appropriate to the task, taking into account the limited time for the implementation.</w:t>
      </w:r>
    </w:p>
    <w:p w14:paraId="09E48B7F" w14:textId="4B06E21F" w:rsidR="004F61D7" w:rsidRPr="00410DE8" w:rsidRDefault="004F61D7" w:rsidP="004F61D7">
      <w:pPr>
        <w:spacing w:after="0" w:line="240" w:lineRule="auto"/>
        <w:jc w:val="both"/>
        <w:rPr>
          <w:rFonts w:ascii="Times New Roman" w:eastAsia="Times New Roman" w:hAnsi="Times New Roman" w:cs="Times New Roman"/>
          <w:sz w:val="24"/>
          <w:szCs w:val="24"/>
        </w:rPr>
      </w:pPr>
    </w:p>
    <w:p w14:paraId="1FC84F4C" w14:textId="3E5E3278" w:rsidR="004F61D7" w:rsidRPr="00410DE8" w:rsidRDefault="00B80451" w:rsidP="00AC2BB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50 The Commission shall evaluate the project application by awarding points for each sub-criterion of the sectoral criterion referred to in Sub-paragraphs 49.1 to 49.2 of these By-laws. </w:t>
      </w:r>
    </w:p>
    <w:p w14:paraId="6296C703" w14:textId="77777777" w:rsidR="004F61D7" w:rsidRPr="00410DE8" w:rsidRDefault="004F61D7" w:rsidP="004F61D7">
      <w:pPr>
        <w:spacing w:after="0" w:line="240" w:lineRule="auto"/>
        <w:jc w:val="both"/>
        <w:rPr>
          <w:rFonts w:ascii="Times New Roman" w:eastAsia="Times New Roman" w:hAnsi="Times New Roman" w:cs="Times New Roman"/>
          <w:sz w:val="24"/>
          <w:szCs w:val="24"/>
        </w:rPr>
      </w:pPr>
    </w:p>
    <w:p w14:paraId="4D5DA4F7" w14:textId="5CC19463" w:rsidR="004F61D7" w:rsidRPr="00410DE8" w:rsidRDefault="00B80451" w:rsidP="00AC2BB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51 The Commission shall calculate the total score of each project application for the sectoral criteria using the following formula: </w:t>
      </w:r>
    </w:p>
    <w:p w14:paraId="1C8E80A2" w14:textId="441607AB" w:rsidR="004F61D7" w:rsidRPr="00410DE8" w:rsidRDefault="004F61D7" w:rsidP="004F61D7">
      <w:pPr>
        <w:spacing w:after="0" w:line="240" w:lineRule="auto"/>
        <w:jc w:val="both"/>
        <w:rPr>
          <w:rFonts w:ascii="Times New Roman" w:eastAsia="Times New Roman" w:hAnsi="Times New Roman" w:cs="Times New Roman"/>
          <w:sz w:val="24"/>
          <w:szCs w:val="24"/>
        </w:rPr>
      </w:pPr>
      <w:r>
        <w:rPr>
          <w:rFonts w:ascii="Times New Roman" w:hAnsi="Times New Roman"/>
          <w:sz w:val="24"/>
        </w:rPr>
        <w:t>S</w:t>
      </w:r>
      <w:proofErr w:type="gramStart"/>
      <w:r>
        <w:rPr>
          <w:rFonts w:ascii="Times New Roman" w:hAnsi="Times New Roman"/>
          <w:sz w:val="24"/>
        </w:rPr>
        <w:t>=(</w:t>
      </w:r>
      <w:proofErr w:type="spellStart"/>
      <w:proofErr w:type="gramEnd"/>
      <w:r>
        <w:rPr>
          <w:rFonts w:ascii="Times New Roman" w:hAnsi="Times New Roman"/>
          <w:sz w:val="24"/>
        </w:rPr>
        <w:t>a+b+c+d+e</w:t>
      </w:r>
      <w:proofErr w:type="spellEnd"/>
      <w:r>
        <w:rPr>
          <w:rFonts w:ascii="Times New Roman" w:hAnsi="Times New Roman"/>
          <w:sz w:val="24"/>
        </w:rPr>
        <w:t xml:space="preserve">), where </w:t>
      </w:r>
    </w:p>
    <w:p w14:paraId="21E985B8" w14:textId="4265CA3D" w:rsidR="004F61D7" w:rsidRPr="00410DE8" w:rsidRDefault="00B5481A" w:rsidP="00AC2BB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50.1 S – overall score for the sectoral criteria of the project application; </w:t>
      </w:r>
    </w:p>
    <w:p w14:paraId="16BBA688" w14:textId="6C6B0DDF" w:rsidR="004F61D7" w:rsidRPr="004F61D7" w:rsidRDefault="00B5481A" w:rsidP="00AC2BB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50.2 </w:t>
      </w:r>
      <w:proofErr w:type="gramStart"/>
      <w:r>
        <w:rPr>
          <w:rFonts w:ascii="Times New Roman" w:hAnsi="Times New Roman"/>
          <w:sz w:val="24"/>
        </w:rPr>
        <w:t>a</w:t>
      </w:r>
      <w:proofErr w:type="gramEnd"/>
      <w:r>
        <w:rPr>
          <w:rFonts w:ascii="Times New Roman" w:hAnsi="Times New Roman"/>
          <w:sz w:val="24"/>
        </w:rPr>
        <w:t xml:space="preserve">, b, c, d, e – the score in each of the sector-specific evaluation sub-criteria 49.1 to 49.2 of this Regulation. </w:t>
      </w:r>
    </w:p>
    <w:p w14:paraId="37F07C35" w14:textId="77777777" w:rsidR="004F61D7" w:rsidRPr="004F61D7" w:rsidRDefault="004F61D7" w:rsidP="004F61D7">
      <w:pPr>
        <w:spacing w:after="0" w:line="240" w:lineRule="auto"/>
        <w:jc w:val="both"/>
        <w:rPr>
          <w:rFonts w:ascii="Times New Roman" w:eastAsia="Times New Roman" w:hAnsi="Times New Roman" w:cs="Times New Roman"/>
          <w:sz w:val="24"/>
          <w:szCs w:val="24"/>
        </w:rPr>
      </w:pPr>
    </w:p>
    <w:p w14:paraId="4C375BCF" w14:textId="4BD7FE6C" w:rsidR="00F61AA0" w:rsidRDefault="00B80451" w:rsidP="004F61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52 The total maximum score to </w:t>
      </w:r>
      <w:proofErr w:type="gramStart"/>
      <w:r>
        <w:rPr>
          <w:rFonts w:ascii="Times New Roman" w:hAnsi="Times New Roman"/>
          <w:sz w:val="24"/>
        </w:rPr>
        <w:t>be obtained</w:t>
      </w:r>
      <w:proofErr w:type="gramEnd"/>
      <w:r>
        <w:rPr>
          <w:rFonts w:ascii="Times New Roman" w:hAnsi="Times New Roman"/>
          <w:sz w:val="24"/>
        </w:rPr>
        <w:t xml:space="preserve"> in the evaluation of the sectoral criteria is 4.5 points, which, according to Sub-paragraph 33.2 of the Cabinet Regulation, is 30 % of the total maximum amount of points awarded in the scientific criteria. </w:t>
      </w:r>
    </w:p>
    <w:p w14:paraId="6A857A45" w14:textId="77777777" w:rsidR="00F61AA0" w:rsidRDefault="00F61AA0" w:rsidP="004F61D7">
      <w:pPr>
        <w:spacing w:after="0" w:line="240" w:lineRule="auto"/>
        <w:ind w:firstLine="720"/>
        <w:jc w:val="both"/>
        <w:rPr>
          <w:rFonts w:ascii="Times New Roman" w:eastAsia="Times New Roman" w:hAnsi="Times New Roman" w:cs="Times New Roman"/>
          <w:sz w:val="24"/>
          <w:szCs w:val="24"/>
        </w:rPr>
      </w:pPr>
    </w:p>
    <w:p w14:paraId="68C34159" w14:textId="3ACC8AB8" w:rsidR="004F61D7" w:rsidRDefault="00F61AA0" w:rsidP="00AC2BB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53 The Commission shall sum the assessment referred to in Paragraph 52 of the By-laws with the score indicated for each project application in the list referred to in Sub-paragraph 48.1 of the By-laws.</w:t>
      </w:r>
    </w:p>
    <w:p w14:paraId="453712F8" w14:textId="77777777" w:rsidR="004F61D7" w:rsidRDefault="004F61D7" w:rsidP="004F61D7">
      <w:pPr>
        <w:spacing w:after="0" w:line="240" w:lineRule="auto"/>
        <w:jc w:val="both"/>
        <w:rPr>
          <w:rFonts w:ascii="Times New Roman" w:eastAsia="Times New Roman" w:hAnsi="Times New Roman" w:cs="Times New Roman"/>
          <w:sz w:val="24"/>
          <w:szCs w:val="24"/>
        </w:rPr>
      </w:pPr>
    </w:p>
    <w:p w14:paraId="5ADB5D3D" w14:textId="4F21AE70" w:rsidR="004F61D7" w:rsidRPr="00AC2BB6" w:rsidRDefault="004F61D7" w:rsidP="00AC2BB6">
      <w:pPr>
        <w:rPr>
          <w:rFonts w:ascii="Times New Roman" w:eastAsia="Times New Roman" w:hAnsi="Times New Roman" w:cs="Times New Roman"/>
          <w:b/>
          <w:bCs/>
          <w:sz w:val="24"/>
          <w:szCs w:val="24"/>
        </w:rPr>
      </w:pPr>
      <w:r>
        <w:rPr>
          <w:rFonts w:ascii="Times New Roman" w:hAnsi="Times New Roman"/>
          <w:b/>
          <w:sz w:val="24"/>
        </w:rPr>
        <w:t>IX. Decision to Grant Funding or Reject a Project Application</w:t>
      </w:r>
    </w:p>
    <w:p w14:paraId="4526A122" w14:textId="77777777" w:rsidR="005D3DB1" w:rsidRPr="00873793" w:rsidRDefault="005D3DB1" w:rsidP="00AC2BB6">
      <w:pPr>
        <w:spacing w:after="0" w:line="240" w:lineRule="auto"/>
        <w:jc w:val="both"/>
        <w:rPr>
          <w:rFonts w:ascii="Times New Roman" w:eastAsia="Times New Roman" w:hAnsi="Times New Roman" w:cs="Times New Roman"/>
          <w:sz w:val="24"/>
          <w:szCs w:val="24"/>
        </w:rPr>
      </w:pPr>
    </w:p>
    <w:p w14:paraId="76008092" w14:textId="344C772D" w:rsidR="005D3DB1" w:rsidRPr="00873793"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54 The Commission shall, within one week of </w:t>
      </w:r>
      <w:bookmarkStart w:id="8" w:name="_Hlk78746350"/>
      <w:r>
        <w:rPr>
          <w:rFonts w:ascii="Times New Roman" w:hAnsi="Times New Roman"/>
          <w:sz w:val="24"/>
        </w:rPr>
        <w:t xml:space="preserve">receipt of the list of project applications </w:t>
      </w:r>
      <w:bookmarkEnd w:id="8"/>
      <w:r>
        <w:rPr>
          <w:rFonts w:ascii="Times New Roman" w:hAnsi="Times New Roman"/>
          <w:sz w:val="24"/>
        </w:rPr>
        <w:t xml:space="preserve">and the recommendations of the experts and the list referred to in Paragraph 53 of the By-laws, adopt the decision provided for in Paragraph 8.3.1 or 8.3.2 of the Cabinet Regulation for each project application included in the list of project applications. </w:t>
      </w:r>
      <w:bookmarkStart w:id="9" w:name="_Hlk79475306"/>
      <w:r>
        <w:rPr>
          <w:rFonts w:ascii="Times New Roman" w:hAnsi="Times New Roman"/>
          <w:sz w:val="24"/>
        </w:rPr>
        <w:t xml:space="preserve">The decisions made by the Council </w:t>
      </w:r>
      <w:proofErr w:type="gramStart"/>
      <w:r>
        <w:rPr>
          <w:rFonts w:ascii="Times New Roman" w:hAnsi="Times New Roman"/>
          <w:sz w:val="24"/>
        </w:rPr>
        <w:t>shall be forwarded</w:t>
      </w:r>
      <w:proofErr w:type="gramEnd"/>
      <w:r>
        <w:rPr>
          <w:rFonts w:ascii="Times New Roman" w:hAnsi="Times New Roman"/>
          <w:sz w:val="24"/>
        </w:rPr>
        <w:t xml:space="preserve"> to the applicants.</w:t>
      </w:r>
      <w:bookmarkEnd w:id="9"/>
    </w:p>
    <w:bookmarkEnd w:id="7"/>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402E42B8" w:rsidR="002C408D" w:rsidRPr="00873793" w:rsidRDefault="0029584A" w:rsidP="002C408D">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 xml:space="preserve">55 </w:t>
      </w:r>
      <w:r>
        <w:rPr>
          <w:rFonts w:ascii="Times New Roman" w:hAnsi="Times New Roman"/>
          <w:sz w:val="24"/>
        </w:rPr>
        <w:t>The Council shall, within 10 calendar days from the date of entry into force, as per Paragraph 8.3.1 of the Cabinet Regulation,</w:t>
      </w:r>
      <w:r>
        <w:rPr>
          <w:rFonts w:ascii="Times New Roman" w:hAnsi="Times New Roman"/>
          <w:sz w:val="24"/>
          <w:shd w:val="clear" w:color="auto" w:fill="FFFFFF"/>
        </w:rPr>
        <w:t> </w:t>
      </w:r>
      <w:r>
        <w:rPr>
          <w:rFonts w:ascii="Times New Roman" w:hAnsi="Times New Roman"/>
          <w:sz w:val="24"/>
        </w:rPr>
        <w:t xml:space="preserve">on granting of  funding for the implementation of the project shall enter into a project agreement with the project applicant (hereinafter - the project promoter) using Annex 11 to the By-laws “Agreement on the Implementation of the Project of the </w:t>
      </w:r>
      <w:r w:rsidR="00CC0F92">
        <w:rPr>
          <w:rFonts w:ascii="Times New Roman" w:hAnsi="Times New Roman"/>
          <w:sz w:val="24"/>
        </w:rPr>
        <w:t>National Research Programme</w:t>
      </w:r>
      <w:r>
        <w:rPr>
          <w:rFonts w:ascii="Times New Roman" w:hAnsi="Times New Roman"/>
          <w:sz w:val="24"/>
        </w:rPr>
        <w:t xml:space="preserve"> “Research and Sustainable Use of Local Resources for the Development of Latvia” for 2023-2025”.</w:t>
      </w:r>
      <w:proofErr w:type="gramEnd"/>
      <w:r>
        <w:rPr>
          <w:rFonts w:ascii="Times New Roman" w:hAnsi="Times New Roman"/>
          <w:sz w:val="24"/>
        </w:rPr>
        <w:t xml:space="preserve">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 xml:space="preserve">The wording of the project agreement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project preparation process to reflect the specific content of the project.</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15713B10" w:rsidR="002C408D" w:rsidRPr="00873793" w:rsidRDefault="002C408D" w:rsidP="002C408D">
      <w:pPr>
        <w:spacing w:after="0" w:line="240" w:lineRule="auto"/>
        <w:ind w:firstLine="720"/>
        <w:jc w:val="both"/>
        <w:rPr>
          <w:rFonts w:ascii="Times New Roman" w:hAnsi="Times New Roman" w:cs="Times New Roman"/>
          <w:sz w:val="24"/>
        </w:rPr>
      </w:pPr>
      <w:proofErr w:type="gramStart"/>
      <w:r>
        <w:rPr>
          <w:rFonts w:ascii="Times New Roman" w:hAnsi="Times New Roman"/>
          <w:sz w:val="24"/>
        </w:rPr>
        <w:t>56</w:t>
      </w:r>
      <w:proofErr w:type="gramEnd"/>
      <w:r>
        <w:rPr>
          <w:rFonts w:ascii="Times New Roman" w:hAnsi="Times New Roman"/>
          <w:sz w:val="24"/>
        </w:rPr>
        <w:t xml:space="preserve"> Project costs are eligible from 1 August 2023, taking into account the specificities of the sector. In the event of non-compliance with the terms of the project agreement, the project and the By-laws, the Council shall require the project promoter to refund all or part of the financing granted to the project, in conformity with the terms of the project agreement.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21784848"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0" w:name="_Hlk78716547"/>
      <w:r>
        <w:rPr>
          <w:rFonts w:ascii="Times New Roman" w:hAnsi="Times New Roman"/>
          <w:sz w:val="24"/>
        </w:rPr>
        <w:t xml:space="preserve">57 Subject to a minimum </w:t>
      </w:r>
      <w:proofErr w:type="gramStart"/>
      <w:r>
        <w:rPr>
          <w:rFonts w:ascii="Times New Roman" w:hAnsi="Times New Roman"/>
          <w:sz w:val="24"/>
        </w:rPr>
        <w:t>project financing</w:t>
      </w:r>
      <w:proofErr w:type="gramEnd"/>
      <w:r>
        <w:rPr>
          <w:rFonts w:ascii="Times New Roman" w:hAnsi="Times New Roman"/>
          <w:sz w:val="24"/>
        </w:rPr>
        <w:t xml:space="preserve"> period of 12 months, the amount of the advance payment per project financing period shall be specified in the project agreement. </w:t>
      </w:r>
      <w:proofErr w:type="gramStart"/>
      <w:r>
        <w:rPr>
          <w:rFonts w:ascii="Times New Roman" w:hAnsi="Times New Roman"/>
          <w:sz w:val="24"/>
        </w:rPr>
        <w:t>If the project promoter needs to extend the project implementation period on the basis of Paragraph 39 of the Cabinet Regulation, it may be extended by up to one year for the consolidation and publication of results without additional funding, for which the project promoter shall submit a reasoned application to the Board at least three calendar months before the end of the project period on the need for the extension and Annex 12 to the project agreement “Plan for the Consolidation of Results”.</w:t>
      </w:r>
      <w:proofErr w:type="gramEnd"/>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0"/>
    <w:p w14:paraId="388BB3E2" w14:textId="298D1F95"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58 Where a project involves a project partner, the project promoter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w:t>
      </w:r>
      <w:proofErr w:type="gramEnd"/>
      <w:r>
        <w:rPr>
          <w:rFonts w:ascii="Times New Roman" w:hAnsi="Times New Roman"/>
          <w:sz w:val="24"/>
        </w:rPr>
        <w:t xml:space="preserve"> The </w:t>
      </w:r>
      <w:proofErr w:type="gramStart"/>
      <w:r>
        <w:rPr>
          <w:rFonts w:ascii="Times New Roman" w:hAnsi="Times New Roman"/>
          <w:sz w:val="24"/>
        </w:rPr>
        <w:t>cooperation agreement shall be submitted by the project promoter to the Council</w:t>
      </w:r>
      <w:proofErr w:type="gramEnd"/>
      <w:r>
        <w:rPr>
          <w:rFonts w:ascii="Times New Roman" w:hAnsi="Times New Roman"/>
          <w:sz w:val="24"/>
        </w:rPr>
        <w:t xml:space="preserve"> within two calendar weeks of the date of mutual signing of the project agreement. The project promoter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Evaluation of the Mid-term and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5679B523"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59</w:t>
      </w:r>
      <w:r>
        <w:rPr>
          <w:rFonts w:ascii="Times New Roman" w:hAnsi="Times New Roman"/>
          <w:sz w:val="24"/>
        </w:rPr>
        <w:t xml:space="preserve"> The project promoter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w:t>
      </w:r>
      <w:proofErr w:type="gramEnd"/>
      <w:r>
        <w:rPr>
          <w:rFonts w:ascii="Times New Roman" w:hAnsi="Times New Roman"/>
          <w:sz w:val="24"/>
        </w:rPr>
        <w:t xml:space="preserve"> Where the duration of the project </w:t>
      </w:r>
      <w:proofErr w:type="gramStart"/>
      <w:r>
        <w:rPr>
          <w:rFonts w:ascii="Times New Roman" w:hAnsi="Times New Roman"/>
          <w:sz w:val="24"/>
        </w:rPr>
        <w:t>has been extended</w:t>
      </w:r>
      <w:proofErr w:type="gramEnd"/>
      <w:r>
        <w:rPr>
          <w:rFonts w:ascii="Times New Roman" w:hAnsi="Times New Roman"/>
          <w:sz w:val="24"/>
        </w:rPr>
        <w:t xml:space="preserve"> in accordance with Paragraph 57 of the By-laws, the project promoter shall submit the final scientific report of the project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6EC4E81B" w:rsidR="004A7B97" w:rsidRPr="00873793" w:rsidRDefault="00D56C3C"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60 The Council shall ensure that experts who meet the requirements laid down in Paragraphs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Paragraph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1FFD6F69" w:rsidR="004A7B97" w:rsidRPr="00873793" w:rsidRDefault="00D56C3C"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61 The Council:</w:t>
      </w:r>
    </w:p>
    <w:p w14:paraId="06A2217C" w14:textId="502A62E1" w:rsidR="004A7B97" w:rsidRPr="00873793" w:rsidRDefault="00D56C3C"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61.1 shall ensure that the mid-term scientific report or the final scientific report of the project is evaluated by at least two experts within two months in accordance with the procedure laid down in Paragraph 46 of the Cabinet Regulation, by filling out Annex 12 to the By-laws “Individual</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/Consolidated Evaluation Form of a Mid-term/</w:t>
          </w:r>
        </w:sdtContent>
      </w:sdt>
      <w:r>
        <w:rPr>
          <w:rFonts w:ascii="Times New Roman" w:hAnsi="Times New Roman"/>
          <w:sz w:val="24"/>
        </w:rPr>
        <w:t>Final Scientific Report of the Project” in conformity with the methodology for carrying out the expert-examination.</w:t>
      </w:r>
      <w:proofErr w:type="gramEnd"/>
      <w:r>
        <w:rPr>
          <w:rFonts w:ascii="Times New Roman" w:hAnsi="Times New Roman"/>
          <w:sz w:val="24"/>
        </w:rPr>
        <w:t xml:space="preserve"> </w:t>
      </w:r>
      <w:proofErr w:type="gramStart"/>
      <w:r>
        <w:rPr>
          <w:rFonts w:ascii="Times New Roman" w:hAnsi="Times New Roman"/>
          <w:sz w:val="24"/>
        </w:rPr>
        <w:t xml:space="preserve">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11" w:name="_Hlk78746608"/>
      <w:r>
        <w:rPr>
          <w:rFonts w:ascii="Times New Roman" w:hAnsi="Times New Roman"/>
          <w:sz w:val="24"/>
        </w:rPr>
        <w:t>i.e. the individual evaluations of the mid-term scientific report and the final scientific report of the project,</w:t>
      </w:r>
      <w:bookmarkEnd w:id="11"/>
      <w:r w:rsidR="00CC0F92">
        <w:rPr>
          <w:rFonts w:ascii="Times New Roman" w:hAnsi="Times New Roman"/>
          <w:sz w:val="24"/>
        </w:rPr>
        <w:t xml:space="preserve"> </w:t>
      </w:r>
      <w:r>
        <w:rPr>
          <w:rFonts w:ascii="Times New Roman" w:hAnsi="Times New Roman"/>
          <w:sz w:val="24"/>
        </w:rPr>
        <w:t>prepare and submit in the information system a consolidated evaluation of the mid-term scientific report and/or of the final scientific report of the project, subject to prior coordination with the other experts who have provided individual evaluations of the mid-term scientific report and of the final scientific report of the project;</w:t>
      </w:r>
      <w:proofErr w:type="gramEnd"/>
    </w:p>
    <w:p w14:paraId="225F6D5C" w14:textId="3C1CF344" w:rsidR="005E67AA" w:rsidRPr="00873793" w:rsidRDefault="00D56C3C" w:rsidP="004A7B97">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61.2 shall summarise the recommendations included in the consolidated expert evaluation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roofErr w:type="gramEnd"/>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3CD35688" w:rsidR="00633223" w:rsidRPr="00873793"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62 The Council shall, in accordance with</w:t>
      </w:r>
      <w:r>
        <w:rPr>
          <w:rFonts w:ascii="Times New Roman" w:hAnsi="Times New Roman"/>
          <w:sz w:val="24"/>
          <w:shd w:val="clear" w:color="auto" w:fill="FFFFFF"/>
        </w:rPr>
        <w:t xml:space="preserve"> Paragraph</w:t>
      </w:r>
      <w:r>
        <w:rPr>
          <w:rFonts w:ascii="Times New Roman" w:hAnsi="Times New Roman"/>
          <w:sz w:val="24"/>
        </w:rPr>
        <w:t xml:space="preserve"> 7.6 and Paragraph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5103DB9"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63 The content of the Council report shall include:</w:t>
      </w:r>
    </w:p>
    <w:p w14:paraId="37FD540D" w14:textId="6E20E826" w:rsidR="00633223" w:rsidRPr="00873793" w:rsidRDefault="00D56C3C"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63.1 statistics on funded projects (human resources involved, MSc/PhD theses defended);</w:t>
      </w:r>
    </w:p>
    <w:p w14:paraId="00CC4755" w14:textId="0ED87924" w:rsidR="00E039DC" w:rsidRDefault="00D56C3C"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63.2 The results achieved and a description of them in line with the programme’s objective and tasks in conformity with the Cabinet Decision; </w:t>
      </w:r>
    </w:p>
    <w:p w14:paraId="0C8E36B7" w14:textId="5F93DDA3" w:rsidR="00633223" w:rsidRPr="00873793" w:rsidRDefault="00D56C3C" w:rsidP="00633223">
      <w:pPr>
        <w:tabs>
          <w:tab w:val="left" w:pos="709"/>
        </w:tabs>
        <w:spacing w:after="0" w:line="240" w:lineRule="auto"/>
        <w:ind w:left="709"/>
        <w:jc w:val="both"/>
        <w:rPr>
          <w:rFonts w:ascii="Times New Roman" w:hAnsi="Times New Roman" w:cs="Times New Roman"/>
        </w:rPr>
      </w:pPr>
      <w:r>
        <w:rPr>
          <w:rFonts w:ascii="Times New Roman" w:hAnsi="Times New Roman"/>
          <w:sz w:val="24"/>
        </w:rPr>
        <w:t>63.3 a description of the scientific cooperation (e.g. at international level, consortia, planned applications to international research and innovation programmes of the European Union, including Horizon Europe);</w:t>
      </w:r>
    </w:p>
    <w:p w14:paraId="46D5C29A" w14:textId="1AEEDD88" w:rsidR="00633223" w:rsidRPr="00873793" w:rsidRDefault="00D56C3C"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63.4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119769A9" w14:textId="44F5C9B3"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63.5 information on the publication of project results in open access, as well as in repositories suitable for depositing research data (using FAIR principles);</w:t>
      </w:r>
    </w:p>
    <w:p w14:paraId="78BD3875" w14:textId="6CD8AAD2" w:rsidR="00633223" w:rsidRPr="00873793" w:rsidRDefault="00D56C3C" w:rsidP="00633223">
      <w:pPr>
        <w:spacing w:after="0" w:line="240" w:lineRule="auto"/>
        <w:ind w:left="709"/>
        <w:jc w:val="both"/>
        <w:rPr>
          <w:rFonts w:ascii="Times New Roman" w:eastAsia="Times New Roman" w:hAnsi="Times New Roman" w:cs="Times New Roman"/>
          <w:sz w:val="24"/>
          <w:szCs w:val="24"/>
        </w:rPr>
      </w:pPr>
      <w:proofErr w:type="gramStart"/>
      <w:r>
        <w:rPr>
          <w:rFonts w:ascii="Times New Roman" w:hAnsi="Times New Roman"/>
          <w:sz w:val="24"/>
        </w:rPr>
        <w:t>63.6</w:t>
      </w:r>
      <w:proofErr w:type="gramEnd"/>
      <w:r>
        <w:rPr>
          <w:rFonts w:ascii="Times New Roman" w:hAnsi="Times New Roman"/>
          <w:sz w:val="24"/>
        </w:rPr>
        <w:t xml:space="preserve"> other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5138F940" w:rsidR="007675B5" w:rsidRPr="00873793" w:rsidRDefault="00D56C3C" w:rsidP="007675B5">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64</w:t>
      </w:r>
      <w:r>
        <w:rPr>
          <w:rFonts w:ascii="Times New Roman" w:hAnsi="Times New Roman"/>
          <w:sz w:val="24"/>
          <w:shd w:val="clear" w:color="auto" w:fill="FFFFFF"/>
        </w:rPr>
        <w:t xml:space="preserve">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certificate of acceptance-delivery on project execution as laid down in Paragraph 59.1.2 of the Cabinet Regulation, which is an annex to the project agreement.</w:t>
      </w:r>
      <w:proofErr w:type="gramEnd"/>
      <w:r>
        <w:rPr>
          <w:rFonts w:ascii="Times New Roman" w:hAnsi="Times New Roman"/>
          <w:sz w:val="24"/>
          <w:shd w:val="clear" w:color="auto" w:fill="FFFFFF"/>
        </w:rPr>
        <w:t xml:space="preserve">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4A93090F" w14:textId="11BEEB69" w:rsidR="007675B5" w:rsidRPr="00873793" w:rsidRDefault="00D56C3C"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65 The project promoter shall, within the procedures and deadlines laid down in the project agreement, provide publicity information to the Ministry of Agriculture and Council, which shall carry out communication and public information activities for the implementation of the project financed via the call for proposals. The Council shall compile this information and make it available to the public. The project promoter shall cooperate with the Council and participate in public information and communication activities organised by the Council, including the production of project design material, content development and joint workshops on the progress of the project.</w:t>
      </w:r>
    </w:p>
    <w:p w14:paraId="05CF5BE5"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991BC8D" w:rsidR="007675B5" w:rsidRPr="00873793" w:rsidRDefault="00D56C3C"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66 To promote the visibility of the project, the project promoter shall use the common graphic identity of the </w:t>
      </w:r>
      <w:r w:rsidR="00CC0F92">
        <w:rPr>
          <w:rFonts w:ascii="Times New Roman" w:hAnsi="Times New Roman"/>
          <w:sz w:val="24"/>
        </w:rPr>
        <w:t>National Research Programme</w:t>
      </w:r>
      <w:r>
        <w:rPr>
          <w:rFonts w:ascii="Times New Roman" w:hAnsi="Times New Roman"/>
          <w:sz w:val="24"/>
        </w:rPr>
        <w:t>s</w:t>
      </w:r>
      <w:r w:rsidR="007675B5" w:rsidRPr="00873793">
        <w:rPr>
          <w:rFonts w:ascii="Times New Roman" w:hAnsi="Times New Roman" w:cs="Times New Roman"/>
          <w:sz w:val="24"/>
          <w:szCs w:val="24"/>
          <w:vertAlign w:val="superscript"/>
        </w:rPr>
        <w:footnoteReference w:id="3"/>
      </w:r>
      <w:r w:rsidR="00CC0F92">
        <w:rPr>
          <w:rFonts w:ascii="Times New Roman" w:hAnsi="Times New Roman"/>
          <w:sz w:val="24"/>
        </w:rPr>
        <w:t xml:space="preserve"> </w:t>
      </w:r>
      <w:r>
        <w:rPr>
          <w:rFonts w:ascii="Times New Roman" w:hAnsi="Times New Roman"/>
          <w:sz w:val="24"/>
        </w:rPr>
        <w:t xml:space="preserve">as a basis and may additionally create a visual identity mark describing the project and including an abbreviation of the project name, which shall be consistent with the common graphic identity of the </w:t>
      </w:r>
      <w:r w:rsidR="00CC0F92">
        <w:rPr>
          <w:rFonts w:ascii="Times New Roman" w:hAnsi="Times New Roman"/>
          <w:sz w:val="24"/>
        </w:rPr>
        <w:t>National Research Programme</w:t>
      </w:r>
      <w:r>
        <w:rPr>
          <w:rFonts w:ascii="Times New Roman" w:hAnsi="Times New Roman"/>
          <w:sz w:val="24"/>
        </w:rPr>
        <w:t xml:space="preserve">s. If the </w:t>
      </w:r>
      <w:proofErr w:type="gramStart"/>
      <w:r>
        <w:rPr>
          <w:rFonts w:ascii="Times New Roman" w:hAnsi="Times New Roman"/>
          <w:sz w:val="24"/>
        </w:rPr>
        <w:t>project’s</w:t>
      </w:r>
      <w:proofErr w:type="gramEnd"/>
      <w:r>
        <w:rPr>
          <w:rFonts w:ascii="Times New Roman" w:hAnsi="Times New Roman"/>
          <w:sz w:val="24"/>
        </w:rPr>
        <w:t xml:space="preserve"> established visual identity is used, it shall be used only in conjunction with the common graphic identity (or programme logo) of the </w:t>
      </w:r>
      <w:r w:rsidR="00CC0F92">
        <w:rPr>
          <w:rFonts w:ascii="Times New Roman" w:hAnsi="Times New Roman"/>
          <w:sz w:val="24"/>
        </w:rPr>
        <w:t>National Research Programme</w:t>
      </w:r>
      <w:r>
        <w:rPr>
          <w:rFonts w:ascii="Times New Roman" w:hAnsi="Times New Roman"/>
          <w:sz w:val="24"/>
        </w:rPr>
        <w:t>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38BD23AD" w:rsidR="00254586" w:rsidRDefault="00D56C3C" w:rsidP="00E35C13">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67 The project promoter and project partners (if applicable) shall refer to the name of the programme, the source of funding and the project number when carrying out public information activities, publishing scientific articles and other project results, participating in conferences or otherwise presenting project results and activities, or shall use the project’s visual identity mark</w:t>
      </w:r>
      <w:r>
        <w:rPr>
          <w:rFonts w:ascii="Times New Roman" w:hAnsi="Times New Roman"/>
          <w:sz w:val="24"/>
          <w:shd w:val="clear" w:color="auto" w:fill="FFFFFF"/>
        </w:rPr>
        <w:t> </w:t>
      </w:r>
      <w:r>
        <w:rPr>
          <w:rFonts w:ascii="Times New Roman" w:hAnsi="Times New Roman"/>
          <w:sz w:val="24"/>
        </w:rPr>
        <w:t>referred to in Paragraph 61 of the By-laws.</w:t>
      </w:r>
      <w:proofErr w:type="gramEnd"/>
      <w:r>
        <w:rPr>
          <w:rFonts w:ascii="Times New Roman" w:hAnsi="Times New Roman"/>
          <w:sz w:val="24"/>
        </w:rPr>
        <w:t xml:space="preserve"> “The Guidelines for publicity activities under FLPP and VPP projects" (approved by Council Order No. 13 from 14 April 2021) are available here:</w:t>
      </w:r>
      <w:r>
        <w:t xml:space="preserve"> </w:t>
      </w:r>
      <w:hyperlink r:id="rId11"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03243B34" w:rsidR="00ED71EB" w:rsidRPr="00873793" w:rsidRDefault="00D56C3C" w:rsidP="00254586">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68</w:t>
      </w:r>
      <w:proofErr w:type="gramEnd"/>
      <w:r>
        <w:rPr>
          <w:rFonts w:ascii="Times New Roman" w:hAnsi="Times New Roman"/>
          <w:color w:val="000000"/>
          <w:sz w:val="24"/>
          <w:shd w:val="clear" w:color="auto" w:fill="FFFFFF"/>
        </w:rPr>
        <w:t xml:space="preserve">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2"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w:t>
      </w:r>
      <w:proofErr w:type="gramStart"/>
      <w:r>
        <w:rPr>
          <w:rFonts w:ascii="Times New Roman" w:hAnsi="Times New Roman"/>
          <w:sz w:val="24"/>
          <w:shd w:val="clear" w:color="auto" w:fill="FFFFFF"/>
        </w:rPr>
        <w:t>are sent</w:t>
      </w:r>
      <w:proofErr w:type="gramEnd"/>
      <w:r>
        <w:rPr>
          <w:rFonts w:ascii="Times New Roman" w:hAnsi="Times New Roman"/>
          <w:sz w:val="24"/>
          <w:shd w:val="clear" w:color="auto" w:fill="FFFFFF"/>
        </w:rPr>
        <w:t xml:space="preserve"> electronically, frequently asked questions and answers are published on the Council’s website </w:t>
      </w:r>
      <w:hyperlink r:id="rId13"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xml:space="preserve">. Other questions about the implementation of the Programme </w:t>
      </w:r>
      <w:proofErr w:type="gramStart"/>
      <w:r>
        <w:rPr>
          <w:rFonts w:ascii="Times New Roman" w:hAnsi="Times New Roman"/>
          <w:sz w:val="24"/>
          <w:shd w:val="clear" w:color="auto" w:fill="FFFFFF"/>
        </w:rPr>
        <w:t>should also be sent</w:t>
      </w:r>
      <w:proofErr w:type="gramEnd"/>
      <w:r>
        <w:rPr>
          <w:rFonts w:ascii="Times New Roman" w:hAnsi="Times New Roman"/>
          <w:sz w:val="24"/>
          <w:shd w:val="clear" w:color="auto" w:fill="FFFFFF"/>
        </w:rPr>
        <w:t xml:space="preserve">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38983CF2" w:rsidR="003D0627" w:rsidRDefault="00D56C3C"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69</w:t>
      </w:r>
      <w:proofErr w:type="gramEnd"/>
      <w:r>
        <w:rPr>
          <w:rFonts w:ascii="Times New Roman" w:hAnsi="Times New Roman"/>
          <w:color w:val="000000"/>
          <w:sz w:val="24"/>
          <w:shd w:val="clear" w:color="auto" w:fill="FFFFFF"/>
        </w:rPr>
        <w:t xml:space="preserve"> Information on project applications approved by the Commission is published on the websites: </w:t>
      </w:r>
      <w:hyperlink r:id="rId14" w:history="1">
        <w:r>
          <w:rPr>
            <w:rStyle w:val="Hyperlink"/>
            <w:rFonts w:ascii="Times New Roman" w:hAnsi="Times New Roman"/>
            <w:sz w:val="24"/>
            <w:shd w:val="clear" w:color="auto" w:fill="FFFFFF"/>
          </w:rPr>
          <w:t>www.zm.gov.lv</w:t>
        </w:r>
      </w:hyperlink>
      <w:r>
        <w:rPr>
          <w:rFonts w:ascii="Times New Roman" w:hAnsi="Times New Roman"/>
          <w:color w:val="000000"/>
          <w:sz w:val="24"/>
          <w:shd w:val="clear" w:color="auto" w:fill="FFFFFF"/>
        </w:rPr>
        <w:t xml:space="preserve"> and </w:t>
      </w:r>
      <w:hyperlink r:id="rId15"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1</w:t>
      </w:r>
      <w:proofErr w:type="gramEnd"/>
      <w:r>
        <w:rPr>
          <w:rFonts w:ascii="Times New Roman" w:hAnsi="Times New Roman"/>
          <w:color w:val="000000"/>
          <w:sz w:val="24"/>
        </w:rPr>
        <w:t xml:space="preserve"> “Project Application”;</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2</w:t>
      </w:r>
      <w:proofErr w:type="gramEnd"/>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3</w:t>
      </w:r>
      <w:proofErr w:type="gramEnd"/>
      <w:r>
        <w:rPr>
          <w:rFonts w:ascii="Times New Roman" w:hAnsi="Times New Roman"/>
          <w:color w:val="000000"/>
          <w:sz w:val="24"/>
        </w:rPr>
        <w:t xml:space="preserve"> “Methodology for the Evaluation of the Conformity of a Project Application with the Administrative Evaluation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4</w:t>
      </w:r>
      <w:proofErr w:type="gramEnd"/>
      <w:r>
        <w:rPr>
          <w:rFonts w:ascii="Times New Roman" w:hAnsi="Times New Roman"/>
          <w:sz w:val="24"/>
        </w:rPr>
        <w:t xml:space="preserve"> “Administrative Conformity Evaluation Criteria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5</w:t>
      </w:r>
      <w:proofErr w:type="gramEnd"/>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6</w:t>
      </w:r>
      <w:proofErr w:type="gramEnd"/>
      <w:r>
        <w:rPr>
          <w:rFonts w:ascii="Times New Roman" w:hAnsi="Times New Roman"/>
          <w:sz w:val="24"/>
        </w:rPr>
        <w:t xml:space="preserve"> “Agreement on the Performance of the Expert-examination”;</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2" w:name="_Hlk37768734"/>
      <w:r>
        <w:t>”</w:t>
      </w:r>
      <w:r>
        <w:rPr>
          <w:rFonts w:ascii="Times New Roman" w:hAnsi="Times New Roman"/>
          <w:color w:val="000000"/>
          <w:sz w:val="24"/>
        </w:rPr>
        <w:t>Methodology for Carrying out the Expert -examination (Project application, Mid-term/Final Scientific Report)</w:t>
      </w:r>
      <w:bookmarkEnd w:id="12"/>
      <w:r>
        <w:rPr>
          <w:rFonts w:ascii="Times New Roman" w:hAnsi="Times New Roman"/>
          <w:color w:val="000000"/>
          <w:sz w:val="24"/>
        </w:rPr>
        <w:t>";</w:t>
      </w:r>
    </w:p>
    <w:p w14:paraId="1A65D87A" w14:textId="77777777" w:rsidR="00254586"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8</w:t>
      </w:r>
      <w:proofErr w:type="gramEnd"/>
      <w:r>
        <w:rPr>
          <w:rFonts w:ascii="Times New Roman" w:hAnsi="Times New Roman"/>
          <w:color w:val="000000"/>
          <w:sz w:val="24"/>
        </w:rPr>
        <w:t xml:space="preserve"> “Individual/Consolidated Assessment Form for the Expert-examination of the Project Application”;</w:t>
      </w:r>
    </w:p>
    <w:p w14:paraId="66134F51" w14:textId="129DBBB8" w:rsidR="003A6AB7" w:rsidRDefault="003A6AB7"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9</w:t>
      </w:r>
      <w:proofErr w:type="gramEnd"/>
      <w:r>
        <w:rPr>
          <w:rFonts w:ascii="Times New Roman" w:hAnsi="Times New Roman"/>
          <w:color w:val="000000"/>
          <w:sz w:val="24"/>
        </w:rPr>
        <w:t xml:space="preserve"> “Methodology for the Evaluation of the Conformity of a Project Application with the Criteria Specific to the Sector”;</w:t>
      </w:r>
    </w:p>
    <w:p w14:paraId="63D0BD8A" w14:textId="2EF02123" w:rsidR="003A6AB7" w:rsidRPr="00873793" w:rsidRDefault="003A6AB7"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“Form for the Individual/Total Evaluation Criteria Specific to the Sector”</w:t>
      </w:r>
      <w:proofErr w:type="gramStart"/>
      <w:r>
        <w:rPr>
          <w:rFonts w:ascii="Times New Roman" w:hAnsi="Times New Roman"/>
          <w:color w:val="000000"/>
          <w:sz w:val="24"/>
        </w:rPr>
        <w:t>;</w:t>
      </w:r>
      <w:proofErr w:type="gramEnd"/>
    </w:p>
    <w:p w14:paraId="502E870D" w14:textId="5406DE59" w:rsidR="00254586" w:rsidRPr="00873793" w:rsidRDefault="003A6AB7"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“Agreement on the Project Implementation of the </w:t>
      </w:r>
      <w:r w:rsidR="00CC0F92">
        <w:rPr>
          <w:rFonts w:ascii="Times New Roman" w:hAnsi="Times New Roman"/>
          <w:color w:val="000000"/>
          <w:sz w:val="24"/>
        </w:rPr>
        <w:t>National Research Programme</w:t>
      </w:r>
      <w:r>
        <w:rPr>
          <w:rFonts w:ascii="Times New Roman" w:hAnsi="Times New Roman"/>
          <w:color w:val="000000"/>
          <w:sz w:val="24"/>
        </w:rPr>
        <w:t xml:space="preserve">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Pr>
                  <w:rFonts w:ascii="Times New Roman" w:hAnsi="Times New Roman"/>
                  <w:sz w:val="24"/>
                </w:rPr>
                <w:t>Research and Sustainable Use of Local Resources for the Development of Latvia 2023-2025</w:t>
              </w:r>
            </w:sdtContent>
          </w:sdt>
        </w:sdtContent>
      </w:sdt>
      <w:r>
        <w:rPr>
          <w:rFonts w:ascii="Times New Roman" w:hAnsi="Times New Roman"/>
          <w:color w:val="000000"/>
          <w:sz w:val="24"/>
        </w:rPr>
        <w:t>””:</w:t>
      </w:r>
    </w:p>
    <w:p w14:paraId="2C2933FB" w14:textId="29B31985"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11.1 Annex “Project Application”</w:t>
      </w:r>
      <w:proofErr w:type="gramStart"/>
      <w:r>
        <w:rPr>
          <w:rFonts w:ascii="Times New Roman" w:hAnsi="Times New Roman"/>
          <w:color w:val="000000"/>
          <w:sz w:val="24"/>
        </w:rPr>
        <w:t>;</w:t>
      </w:r>
      <w:proofErr w:type="gramEnd"/>
    </w:p>
    <w:p w14:paraId="43BBE260" w14:textId="56E6BC7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11.2 Annex “Breakdown of Funding”</w:t>
      </w:r>
      <w:proofErr w:type="gramStart"/>
      <w:r>
        <w:rPr>
          <w:rFonts w:ascii="Times New Roman" w:hAnsi="Times New Roman"/>
          <w:color w:val="000000"/>
          <w:sz w:val="24"/>
        </w:rPr>
        <w:t>;</w:t>
      </w:r>
      <w:proofErr w:type="gramEnd"/>
    </w:p>
    <w:p w14:paraId="19E84D93" w14:textId="6CD9DD17"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11.3 Annex “Recommendations for the Project Implementation”</w:t>
      </w:r>
      <w:proofErr w:type="gramStart"/>
      <w:r>
        <w:rPr>
          <w:rFonts w:ascii="Times New Roman" w:hAnsi="Times New Roman"/>
          <w:color w:val="000000"/>
          <w:sz w:val="24"/>
        </w:rPr>
        <w:t>;</w:t>
      </w:r>
      <w:proofErr w:type="gramEnd"/>
    </w:p>
    <w:p w14:paraId="7FF4CBED" w14:textId="7D039D0F"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11.4 Annex “Calculation of the Value of Project Results as a Percentage of the Total Project Cost”</w:t>
      </w:r>
      <w:proofErr w:type="gramStart"/>
      <w:r>
        <w:rPr>
          <w:rFonts w:ascii="Times New Roman" w:hAnsi="Times New Roman"/>
          <w:color w:val="000000"/>
          <w:sz w:val="24"/>
        </w:rPr>
        <w:t>;</w:t>
      </w:r>
      <w:proofErr w:type="gramEnd"/>
    </w:p>
    <w:p w14:paraId="6D4046E5" w14:textId="51048E54" w:rsidR="00936ED9" w:rsidRPr="00936ED9" w:rsidRDefault="00CC0F9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11.5 </w:t>
      </w:r>
      <w:r w:rsidR="003A6AB7">
        <w:rPr>
          <w:rFonts w:ascii="Times New Roman" w:hAnsi="Times New Roman"/>
          <w:color w:val="000000"/>
          <w:sz w:val="24"/>
        </w:rPr>
        <w:t xml:space="preserve">Annex “Certificate of Acceptance-Transfer on the Implementation of the Project of the </w:t>
      </w:r>
      <w:r>
        <w:rPr>
          <w:rFonts w:ascii="Times New Roman" w:hAnsi="Times New Roman"/>
          <w:color w:val="000000"/>
          <w:sz w:val="24"/>
        </w:rPr>
        <w:t>National Research Programme</w:t>
      </w:r>
      <w:r w:rsidR="003A6AB7">
        <w:rPr>
          <w:rFonts w:ascii="Times New Roman" w:hAnsi="Times New Roman"/>
          <w:color w:val="000000"/>
          <w:sz w:val="24"/>
        </w:rPr>
        <w:t>”</w:t>
      </w:r>
    </w:p>
    <w:p w14:paraId="55ECAC83" w14:textId="27FA09BA"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11.6 Annex “Plan for the Consolidation of Results”</w:t>
      </w:r>
      <w:proofErr w:type="gramStart"/>
      <w:r>
        <w:rPr>
          <w:rFonts w:ascii="Times New Roman" w:hAnsi="Times New Roman"/>
          <w:color w:val="000000"/>
          <w:sz w:val="24"/>
        </w:rPr>
        <w:t>;</w:t>
      </w:r>
      <w:proofErr w:type="gramEnd"/>
    </w:p>
    <w:p w14:paraId="73A2F807" w14:textId="068AE216"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11.7 Annex “Financial Statement for the Implementation of the Project of </w:t>
      </w:r>
      <w:r w:rsidR="00CC0F92">
        <w:rPr>
          <w:rFonts w:ascii="Times New Roman" w:hAnsi="Times New Roman"/>
          <w:color w:val="000000"/>
          <w:sz w:val="24"/>
        </w:rPr>
        <w:t>National Research Programme of 20___”</w:t>
      </w:r>
      <w:proofErr w:type="gramStart"/>
      <w:r w:rsidR="00CC0F92">
        <w:rPr>
          <w:rFonts w:ascii="Times New Roman" w:hAnsi="Times New Roman"/>
          <w:color w:val="000000"/>
          <w:sz w:val="24"/>
        </w:rPr>
        <w:t>;</w:t>
      </w:r>
      <w:proofErr w:type="gramEnd"/>
    </w:p>
    <w:p w14:paraId="4E120799" w14:textId="1BDB892E"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11.8 Annex “Changes to the Contractual Amount</w:t>
      </w:r>
      <w:r w:rsidR="00CC0F92">
        <w:rPr>
          <w:rFonts w:ascii="Times New Roman" w:hAnsi="Times New Roman"/>
          <w:color w:val="000000"/>
          <w:sz w:val="24"/>
        </w:rPr>
        <w:t xml:space="preserve"> up to 30% for a Project of the</w:t>
      </w:r>
      <w:r>
        <w:rPr>
          <w:rFonts w:ascii="Times New Roman" w:hAnsi="Times New Roman"/>
          <w:color w:val="000000"/>
          <w:sz w:val="24"/>
        </w:rPr>
        <w:t xml:space="preserve"> </w:t>
      </w:r>
      <w:r w:rsidR="00CC0F92">
        <w:rPr>
          <w:rFonts w:ascii="Times New Roman" w:hAnsi="Times New Roman"/>
          <w:color w:val="000000"/>
          <w:sz w:val="24"/>
        </w:rPr>
        <w:t>National Research Programme</w:t>
      </w:r>
      <w:r>
        <w:rPr>
          <w:rFonts w:ascii="Times New Roman" w:hAnsi="Times New Roman"/>
          <w:color w:val="000000"/>
          <w:sz w:val="24"/>
        </w:rPr>
        <w:t>”</w:t>
      </w:r>
      <w:proofErr w:type="gramStart"/>
      <w:r>
        <w:rPr>
          <w:rFonts w:ascii="Times New Roman" w:hAnsi="Times New Roman"/>
          <w:color w:val="000000"/>
          <w:sz w:val="24"/>
        </w:rPr>
        <w:t>;</w:t>
      </w:r>
      <w:proofErr w:type="gramEnd"/>
    </w:p>
    <w:p w14:paraId="24BA5785" w14:textId="66C82258"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11.9 Annex “Changes in the Scientific Group of a Project of the </w:t>
      </w:r>
      <w:r w:rsidR="00CC0F92">
        <w:rPr>
          <w:rFonts w:ascii="Times New Roman" w:hAnsi="Times New Roman"/>
          <w:color w:val="000000"/>
          <w:sz w:val="24"/>
        </w:rPr>
        <w:t>National Research Programme</w:t>
      </w:r>
      <w:r>
        <w:rPr>
          <w:rFonts w:ascii="Times New Roman" w:hAnsi="Times New Roman"/>
          <w:color w:val="000000"/>
          <w:sz w:val="24"/>
        </w:rPr>
        <w:t xml:space="preserve"> Exceeding 20%”</w:t>
      </w:r>
      <w:proofErr w:type="gramStart"/>
      <w:r>
        <w:rPr>
          <w:rFonts w:ascii="Times New Roman" w:hAnsi="Times New Roman"/>
          <w:color w:val="000000"/>
          <w:sz w:val="24"/>
        </w:rPr>
        <w:t>;</w:t>
      </w:r>
      <w:proofErr w:type="gramEnd"/>
    </w:p>
    <w:p w14:paraId="1BBC421D" w14:textId="2782E1B8"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11.10 Annex “Mid-term/Final Scientific Report Form of a Project”</w:t>
      </w:r>
      <w:proofErr w:type="gramStart"/>
      <w:r>
        <w:rPr>
          <w:rFonts w:ascii="Times New Roman" w:hAnsi="Times New Roman"/>
          <w:color w:val="000000"/>
          <w:sz w:val="24"/>
        </w:rPr>
        <w:t>;</w:t>
      </w:r>
      <w:proofErr w:type="gramEnd"/>
    </w:p>
    <w:p w14:paraId="2041203D" w14:textId="631A0856"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11.11 Annex “List of Results”</w:t>
      </w:r>
      <w:proofErr w:type="gramStart"/>
      <w:r>
        <w:rPr>
          <w:rFonts w:ascii="Times New Roman" w:hAnsi="Times New Roman"/>
          <w:color w:val="000000"/>
          <w:sz w:val="24"/>
        </w:rPr>
        <w:t>;</w:t>
      </w:r>
      <w:proofErr w:type="gramEnd"/>
    </w:p>
    <w:p w14:paraId="7D7E857F" w14:textId="78BEC9CB"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11.12 Annex “Content Report”</w:t>
      </w:r>
      <w:proofErr w:type="gramStart"/>
      <w:r>
        <w:rPr>
          <w:rFonts w:ascii="Times New Roman" w:hAnsi="Times New Roman"/>
          <w:color w:val="000000"/>
          <w:sz w:val="24"/>
        </w:rPr>
        <w:t>;</w:t>
      </w:r>
      <w:proofErr w:type="gramEnd"/>
    </w:p>
    <w:p w14:paraId="2D9F015A" w14:textId="4A5068EE" w:rsid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11.13 Annex “List of the Scientific Group”.</w:t>
      </w:r>
    </w:p>
    <w:p w14:paraId="1C7E73B8" w14:textId="7F3F605D" w:rsidR="00254586" w:rsidRPr="00873793" w:rsidRDefault="00B5481A"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12</w:t>
      </w:r>
      <w:r>
        <w:rPr>
          <w:rFonts w:ascii="Times New Roman" w:hAnsi="Times New Roman"/>
          <w:color w:val="000000"/>
          <w:sz w:val="24"/>
        </w:rPr>
        <w:t xml:space="preserve"> “Individual/Consolidated Evaluation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326D0F7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13</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6"/>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147B4" w14:textId="77777777" w:rsidR="00575D63" w:rsidRDefault="00575D63" w:rsidP="00254586">
      <w:pPr>
        <w:spacing w:after="0" w:line="240" w:lineRule="auto"/>
      </w:pPr>
      <w:r>
        <w:separator/>
      </w:r>
    </w:p>
  </w:endnote>
  <w:endnote w:type="continuationSeparator" w:id="0">
    <w:p w14:paraId="27A3E688" w14:textId="77777777" w:rsidR="00575D63" w:rsidRDefault="00575D63"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ECA2B" w14:textId="77777777" w:rsidR="00575D63" w:rsidRDefault="00575D63" w:rsidP="00254586">
      <w:pPr>
        <w:spacing w:after="0" w:line="240" w:lineRule="auto"/>
      </w:pPr>
      <w:r>
        <w:separator/>
      </w:r>
    </w:p>
  </w:footnote>
  <w:footnote w:type="continuationSeparator" w:id="0">
    <w:p w14:paraId="64D94B1C" w14:textId="77777777" w:rsidR="00575D63" w:rsidRDefault="00575D63" w:rsidP="00254586">
      <w:pPr>
        <w:spacing w:after="0" w:line="240" w:lineRule="auto"/>
      </w:pPr>
      <w:r>
        <w:continuationSeparator/>
      </w:r>
    </w:p>
  </w:footnote>
  <w:footnote w:id="1">
    <w:p w14:paraId="741B838D" w14:textId="77777777" w:rsidR="00B50D09" w:rsidRPr="0042548F" w:rsidRDefault="00B50D09" w:rsidP="00B50D0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Findable, accessible, interoperable, reusable, see here - </w:t>
      </w:r>
      <w:hyperlink r:id="rId1" w:history="1">
        <w:r>
          <w:rPr>
            <w:rStyle w:val="Hyperlink"/>
            <w:rFonts w:ascii="Times New Roman" w:hAnsi="Times New Roman"/>
          </w:rPr>
          <w:t>https://www.go-fair.org/fair-principles/</w:t>
        </w:r>
      </w:hyperlink>
      <w:r>
        <w:rPr>
          <w:rFonts w:ascii="Times New Roman" w:hAnsi="Times New Roman"/>
        </w:rPr>
        <w:t xml:space="preserve"> </w:t>
      </w:r>
    </w:p>
  </w:footnote>
  <w:footnote w:id="2">
    <w:p w14:paraId="0037DF59" w14:textId="7A4402E4" w:rsidR="00E522CD" w:rsidRPr="00AB3811" w:rsidRDefault="00E522CD" w:rsidP="00E522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w:t>
      </w:r>
      <w:hyperlink r:id="rId2" w:history="1">
        <w:r>
          <w:rPr>
            <w:rStyle w:val="Hyperlink"/>
            <w:rFonts w:ascii="Times New Roman" w:hAnsi="Times New Roman"/>
          </w:rPr>
          <w:t>https://www.lzp.gov.lv/lv/fundamentalo-un-lietisko-petijumu-projektu-2023-gada-atklatais-konkurss</w:t>
        </w:r>
      </w:hyperlink>
      <w:r>
        <w:rPr>
          <w:rFonts w:ascii="Times New Roman" w:hAnsi="Times New Roman"/>
        </w:rPr>
        <w:t xml:space="preserve"> </w:t>
      </w:r>
    </w:p>
  </w:footnote>
  <w:footnote w:id="3">
    <w:p w14:paraId="57B8032D" w14:textId="77777777" w:rsidR="007675B5" w:rsidRPr="00FB76A8" w:rsidRDefault="007675B5" w:rsidP="007675B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https://izm.gov.lv/images/VPP_grafiska/VPP_GRAFISK_IDENTITTE.pdf</w:t>
        </w:r>
      </w:hyperlink>
      <w:r>
        <w:rPr>
          <w:rFonts w:ascii="Times New Roman" w:hAnsi="Times New Roman"/>
        </w:rPr>
        <w:t xml:space="preserve"> (other materials here in the introduction - </w:t>
      </w:r>
      <w:hyperlink r:id="rId4" w:history="1">
        <w:r>
          <w:rPr>
            <w:rStyle w:val="Hyperlink"/>
            <w:rFonts w:ascii="Times New Roman" w:hAnsi="Times New Roman"/>
          </w:rPr>
          <w:t>https://izm.gov.lv/lv/zinatne/valsts-petijumu-programmas</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E9465F"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CC0F92">
          <w:rPr>
            <w:rFonts w:ascii="Times New Roman" w:hAnsi="Times New Roman" w:cs="Times New Roman"/>
            <w:noProof/>
            <w:sz w:val="24"/>
          </w:rPr>
          <w:t>2</w:t>
        </w:r>
        <w:r w:rsidRPr="006E1C7A">
          <w:rPr>
            <w:rFonts w:ascii="Times New Roman" w:hAnsi="Times New Roman" w:cs="Times New Roman"/>
            <w:sz w:val="24"/>
          </w:rPr>
          <w:fldChar w:fldCharType="end"/>
        </w:r>
      </w:p>
    </w:sdtContent>
  </w:sdt>
  <w:p w14:paraId="06C9C79F" w14:textId="77777777" w:rsidR="00E9465F" w:rsidRDefault="00E94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484139C"/>
    <w:multiLevelType w:val="hybridMultilevel"/>
    <w:tmpl w:val="7A44E3EC"/>
    <w:lvl w:ilvl="0" w:tplc="0426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45CE2775"/>
    <w:multiLevelType w:val="hybridMultilevel"/>
    <w:tmpl w:val="CC8C98FA"/>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1" w15:restartNumberingAfterBreak="0">
    <w:nsid w:val="4999472A"/>
    <w:multiLevelType w:val="hybridMultilevel"/>
    <w:tmpl w:val="52F4E588"/>
    <w:lvl w:ilvl="0" w:tplc="260AB6AC">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2"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FE7A62"/>
    <w:multiLevelType w:val="hybridMultilevel"/>
    <w:tmpl w:val="74B0F882"/>
    <w:lvl w:ilvl="0" w:tplc="0426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7" w15:restartNumberingAfterBreak="0">
    <w:nsid w:val="6E4D5FCC"/>
    <w:multiLevelType w:val="hybridMultilevel"/>
    <w:tmpl w:val="8BF228FA"/>
    <w:lvl w:ilvl="0" w:tplc="EA369F7A">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8"/>
  </w:num>
  <w:num w:numId="4">
    <w:abstractNumId w:val="15"/>
  </w:num>
  <w:num w:numId="5">
    <w:abstractNumId w:val="12"/>
  </w:num>
  <w:num w:numId="6">
    <w:abstractNumId w:val="2"/>
  </w:num>
  <w:num w:numId="7">
    <w:abstractNumId w:val="1"/>
  </w:num>
  <w:num w:numId="8">
    <w:abstractNumId w:val="13"/>
  </w:num>
  <w:num w:numId="9">
    <w:abstractNumId w:val="6"/>
  </w:num>
  <w:num w:numId="10">
    <w:abstractNumId w:val="10"/>
  </w:num>
  <w:num w:numId="11">
    <w:abstractNumId w:val="9"/>
  </w:num>
  <w:num w:numId="12">
    <w:abstractNumId w:val="16"/>
  </w:num>
  <w:num w:numId="13">
    <w:abstractNumId w:val="14"/>
  </w:num>
  <w:num w:numId="14">
    <w:abstractNumId w:val="11"/>
  </w:num>
  <w:num w:numId="15">
    <w:abstractNumId w:val="7"/>
  </w:num>
  <w:num w:numId="16">
    <w:abstractNumId w:val="17"/>
  </w:num>
  <w:num w:numId="17">
    <w:abstractNumId w:val="5"/>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3E6E"/>
    <w:rsid w:val="00006CC2"/>
    <w:rsid w:val="000078F9"/>
    <w:rsid w:val="00027145"/>
    <w:rsid w:val="000407B5"/>
    <w:rsid w:val="00041377"/>
    <w:rsid w:val="00041DDC"/>
    <w:rsid w:val="000568D2"/>
    <w:rsid w:val="00057EF6"/>
    <w:rsid w:val="00083E2F"/>
    <w:rsid w:val="000B3394"/>
    <w:rsid w:val="000B5BF5"/>
    <w:rsid w:val="000C5800"/>
    <w:rsid w:val="000C75DD"/>
    <w:rsid w:val="00125C80"/>
    <w:rsid w:val="00130B38"/>
    <w:rsid w:val="0013329E"/>
    <w:rsid w:val="0015542D"/>
    <w:rsid w:val="001626C0"/>
    <w:rsid w:val="001745E7"/>
    <w:rsid w:val="0017780B"/>
    <w:rsid w:val="00191BEF"/>
    <w:rsid w:val="00193F1B"/>
    <w:rsid w:val="00194899"/>
    <w:rsid w:val="001A46C9"/>
    <w:rsid w:val="001B0287"/>
    <w:rsid w:val="001B1590"/>
    <w:rsid w:val="001B1992"/>
    <w:rsid w:val="001B2FC1"/>
    <w:rsid w:val="001D04A6"/>
    <w:rsid w:val="001D3D20"/>
    <w:rsid w:val="001E5273"/>
    <w:rsid w:val="001E5B75"/>
    <w:rsid w:val="001F5484"/>
    <w:rsid w:val="001F7C5C"/>
    <w:rsid w:val="0020573C"/>
    <w:rsid w:val="002170D4"/>
    <w:rsid w:val="00225D9D"/>
    <w:rsid w:val="002470F5"/>
    <w:rsid w:val="00251288"/>
    <w:rsid w:val="00254586"/>
    <w:rsid w:val="00282B1C"/>
    <w:rsid w:val="00287A15"/>
    <w:rsid w:val="002911AE"/>
    <w:rsid w:val="0029288D"/>
    <w:rsid w:val="0029584A"/>
    <w:rsid w:val="002A1AB0"/>
    <w:rsid w:val="002A7E37"/>
    <w:rsid w:val="002B237C"/>
    <w:rsid w:val="002B4692"/>
    <w:rsid w:val="002B46EC"/>
    <w:rsid w:val="002C2E5F"/>
    <w:rsid w:val="002C408D"/>
    <w:rsid w:val="002C6590"/>
    <w:rsid w:val="003016BF"/>
    <w:rsid w:val="00322B9F"/>
    <w:rsid w:val="00327622"/>
    <w:rsid w:val="00334CA0"/>
    <w:rsid w:val="003506CD"/>
    <w:rsid w:val="00354C53"/>
    <w:rsid w:val="00356F5B"/>
    <w:rsid w:val="00373242"/>
    <w:rsid w:val="00376EB2"/>
    <w:rsid w:val="003821F3"/>
    <w:rsid w:val="00395B03"/>
    <w:rsid w:val="003977C6"/>
    <w:rsid w:val="003A0F32"/>
    <w:rsid w:val="003A6AB7"/>
    <w:rsid w:val="003A6CBD"/>
    <w:rsid w:val="003B2161"/>
    <w:rsid w:val="003C054C"/>
    <w:rsid w:val="003D0627"/>
    <w:rsid w:val="003D3764"/>
    <w:rsid w:val="003E1D80"/>
    <w:rsid w:val="003E3CBA"/>
    <w:rsid w:val="003E7A6A"/>
    <w:rsid w:val="003F0B38"/>
    <w:rsid w:val="003F4A5F"/>
    <w:rsid w:val="003F7473"/>
    <w:rsid w:val="0040081C"/>
    <w:rsid w:val="00404E31"/>
    <w:rsid w:val="00410DE8"/>
    <w:rsid w:val="004152FB"/>
    <w:rsid w:val="00425993"/>
    <w:rsid w:val="004263B5"/>
    <w:rsid w:val="004277CE"/>
    <w:rsid w:val="0043245E"/>
    <w:rsid w:val="00433C30"/>
    <w:rsid w:val="0043409B"/>
    <w:rsid w:val="00462C19"/>
    <w:rsid w:val="00494ACB"/>
    <w:rsid w:val="004A78F7"/>
    <w:rsid w:val="004A7B97"/>
    <w:rsid w:val="004B0F0C"/>
    <w:rsid w:val="004B508C"/>
    <w:rsid w:val="004B7DA3"/>
    <w:rsid w:val="004F0126"/>
    <w:rsid w:val="004F61D7"/>
    <w:rsid w:val="004F7BE9"/>
    <w:rsid w:val="00503301"/>
    <w:rsid w:val="00510C70"/>
    <w:rsid w:val="005117C4"/>
    <w:rsid w:val="00511F0E"/>
    <w:rsid w:val="005154F7"/>
    <w:rsid w:val="005339EF"/>
    <w:rsid w:val="00540CF5"/>
    <w:rsid w:val="00546A9D"/>
    <w:rsid w:val="00556507"/>
    <w:rsid w:val="00564EB9"/>
    <w:rsid w:val="0056632F"/>
    <w:rsid w:val="005664D7"/>
    <w:rsid w:val="0056745D"/>
    <w:rsid w:val="005740D1"/>
    <w:rsid w:val="00575D63"/>
    <w:rsid w:val="00581B63"/>
    <w:rsid w:val="00592E5A"/>
    <w:rsid w:val="00596D70"/>
    <w:rsid w:val="005B164E"/>
    <w:rsid w:val="005B2095"/>
    <w:rsid w:val="005D3DB1"/>
    <w:rsid w:val="005D5E58"/>
    <w:rsid w:val="005E67AA"/>
    <w:rsid w:val="005F0A20"/>
    <w:rsid w:val="005F5169"/>
    <w:rsid w:val="00605417"/>
    <w:rsid w:val="00615532"/>
    <w:rsid w:val="00616CC7"/>
    <w:rsid w:val="0062137A"/>
    <w:rsid w:val="00633223"/>
    <w:rsid w:val="00633D33"/>
    <w:rsid w:val="00634234"/>
    <w:rsid w:val="00637D53"/>
    <w:rsid w:val="006500B3"/>
    <w:rsid w:val="00654C4F"/>
    <w:rsid w:val="00674BE8"/>
    <w:rsid w:val="00697AB6"/>
    <w:rsid w:val="006B2806"/>
    <w:rsid w:val="006B6731"/>
    <w:rsid w:val="006C4DB4"/>
    <w:rsid w:val="006C5D98"/>
    <w:rsid w:val="006F6AC8"/>
    <w:rsid w:val="006F703C"/>
    <w:rsid w:val="00707193"/>
    <w:rsid w:val="00716A31"/>
    <w:rsid w:val="007262AE"/>
    <w:rsid w:val="00737144"/>
    <w:rsid w:val="00742101"/>
    <w:rsid w:val="007675B5"/>
    <w:rsid w:val="00793C0F"/>
    <w:rsid w:val="007B34AC"/>
    <w:rsid w:val="007C6A63"/>
    <w:rsid w:val="007D1E4F"/>
    <w:rsid w:val="007E4416"/>
    <w:rsid w:val="007F664C"/>
    <w:rsid w:val="008003EF"/>
    <w:rsid w:val="00814BC4"/>
    <w:rsid w:val="00823C40"/>
    <w:rsid w:val="00836C92"/>
    <w:rsid w:val="00842C75"/>
    <w:rsid w:val="00853B5D"/>
    <w:rsid w:val="008540BC"/>
    <w:rsid w:val="008553B1"/>
    <w:rsid w:val="00873793"/>
    <w:rsid w:val="008814EF"/>
    <w:rsid w:val="008818FB"/>
    <w:rsid w:val="00892860"/>
    <w:rsid w:val="008A5408"/>
    <w:rsid w:val="008A6E78"/>
    <w:rsid w:val="008B34C7"/>
    <w:rsid w:val="008C16D1"/>
    <w:rsid w:val="008C6D3A"/>
    <w:rsid w:val="008D54FF"/>
    <w:rsid w:val="009145C0"/>
    <w:rsid w:val="00925760"/>
    <w:rsid w:val="00936262"/>
    <w:rsid w:val="00936618"/>
    <w:rsid w:val="00936ED9"/>
    <w:rsid w:val="009528CA"/>
    <w:rsid w:val="00967B88"/>
    <w:rsid w:val="00971821"/>
    <w:rsid w:val="009777EE"/>
    <w:rsid w:val="00982389"/>
    <w:rsid w:val="009A4DB5"/>
    <w:rsid w:val="009A676F"/>
    <w:rsid w:val="009B00F3"/>
    <w:rsid w:val="009B70A3"/>
    <w:rsid w:val="009C0D3D"/>
    <w:rsid w:val="009C1869"/>
    <w:rsid w:val="009C2DCC"/>
    <w:rsid w:val="009C7DBA"/>
    <w:rsid w:val="009E7416"/>
    <w:rsid w:val="00A000EA"/>
    <w:rsid w:val="00A26783"/>
    <w:rsid w:val="00A41ED6"/>
    <w:rsid w:val="00A53F46"/>
    <w:rsid w:val="00A63FDD"/>
    <w:rsid w:val="00A66574"/>
    <w:rsid w:val="00A70B18"/>
    <w:rsid w:val="00A82E5B"/>
    <w:rsid w:val="00AA35BE"/>
    <w:rsid w:val="00AC0B5C"/>
    <w:rsid w:val="00AC2BB6"/>
    <w:rsid w:val="00AC42D4"/>
    <w:rsid w:val="00AD6506"/>
    <w:rsid w:val="00AF2A45"/>
    <w:rsid w:val="00B4500A"/>
    <w:rsid w:val="00B45B12"/>
    <w:rsid w:val="00B45EBC"/>
    <w:rsid w:val="00B50D09"/>
    <w:rsid w:val="00B5481A"/>
    <w:rsid w:val="00B67579"/>
    <w:rsid w:val="00B80451"/>
    <w:rsid w:val="00B81A68"/>
    <w:rsid w:val="00B93AC8"/>
    <w:rsid w:val="00B96117"/>
    <w:rsid w:val="00BA5F5D"/>
    <w:rsid w:val="00BB242A"/>
    <w:rsid w:val="00BC13C1"/>
    <w:rsid w:val="00BC26FD"/>
    <w:rsid w:val="00BD07AE"/>
    <w:rsid w:val="00BD51BF"/>
    <w:rsid w:val="00BE770F"/>
    <w:rsid w:val="00BF6B2A"/>
    <w:rsid w:val="00C1209C"/>
    <w:rsid w:val="00C150E0"/>
    <w:rsid w:val="00C25C00"/>
    <w:rsid w:val="00C30461"/>
    <w:rsid w:val="00C355B0"/>
    <w:rsid w:val="00C429C0"/>
    <w:rsid w:val="00C50CE9"/>
    <w:rsid w:val="00C56B91"/>
    <w:rsid w:val="00C622A9"/>
    <w:rsid w:val="00C6548E"/>
    <w:rsid w:val="00C708F6"/>
    <w:rsid w:val="00C81D16"/>
    <w:rsid w:val="00C8458E"/>
    <w:rsid w:val="00C87386"/>
    <w:rsid w:val="00C91D18"/>
    <w:rsid w:val="00C9354F"/>
    <w:rsid w:val="00CB505D"/>
    <w:rsid w:val="00CB643B"/>
    <w:rsid w:val="00CC0F92"/>
    <w:rsid w:val="00CD3841"/>
    <w:rsid w:val="00CE1DB7"/>
    <w:rsid w:val="00CE5B1D"/>
    <w:rsid w:val="00D03BB2"/>
    <w:rsid w:val="00D07EB0"/>
    <w:rsid w:val="00D41DD7"/>
    <w:rsid w:val="00D50A7A"/>
    <w:rsid w:val="00D56570"/>
    <w:rsid w:val="00D56C3C"/>
    <w:rsid w:val="00D61807"/>
    <w:rsid w:val="00D618D1"/>
    <w:rsid w:val="00D67947"/>
    <w:rsid w:val="00D92EEC"/>
    <w:rsid w:val="00D93AD4"/>
    <w:rsid w:val="00D97D38"/>
    <w:rsid w:val="00DA54F0"/>
    <w:rsid w:val="00DA67A7"/>
    <w:rsid w:val="00DB7515"/>
    <w:rsid w:val="00DC2497"/>
    <w:rsid w:val="00DD1EFD"/>
    <w:rsid w:val="00DF0E41"/>
    <w:rsid w:val="00E039DC"/>
    <w:rsid w:val="00E102B2"/>
    <w:rsid w:val="00E12448"/>
    <w:rsid w:val="00E343BC"/>
    <w:rsid w:val="00E35C13"/>
    <w:rsid w:val="00E522CD"/>
    <w:rsid w:val="00E563FC"/>
    <w:rsid w:val="00E67002"/>
    <w:rsid w:val="00E82C44"/>
    <w:rsid w:val="00E870F7"/>
    <w:rsid w:val="00E9465F"/>
    <w:rsid w:val="00EB1C29"/>
    <w:rsid w:val="00EC0344"/>
    <w:rsid w:val="00EC427C"/>
    <w:rsid w:val="00ED71EB"/>
    <w:rsid w:val="00EE0382"/>
    <w:rsid w:val="00EE1FDA"/>
    <w:rsid w:val="00EE792F"/>
    <w:rsid w:val="00EF04B7"/>
    <w:rsid w:val="00EF134C"/>
    <w:rsid w:val="00EF4A6E"/>
    <w:rsid w:val="00EF69D9"/>
    <w:rsid w:val="00F216CD"/>
    <w:rsid w:val="00F22778"/>
    <w:rsid w:val="00F51A97"/>
    <w:rsid w:val="00F52E0E"/>
    <w:rsid w:val="00F61AA0"/>
    <w:rsid w:val="00F82A70"/>
    <w:rsid w:val="00F830FF"/>
    <w:rsid w:val="00F867F8"/>
    <w:rsid w:val="00F90F1A"/>
    <w:rsid w:val="00F95C22"/>
    <w:rsid w:val="00F97285"/>
    <w:rsid w:val="00FA28C9"/>
    <w:rsid w:val="00FB0553"/>
    <w:rsid w:val="00FB1CC6"/>
    <w:rsid w:val="00FC009C"/>
    <w:rsid w:val="00FE5162"/>
    <w:rsid w:val="00FE7E3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zp.gov.lv/lv/media/25/download?attachment"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237AFD"/>
    <w:rsid w:val="00282716"/>
    <w:rsid w:val="00300BC0"/>
    <w:rsid w:val="0048620D"/>
    <w:rsid w:val="005853D0"/>
    <w:rsid w:val="005C7052"/>
    <w:rsid w:val="007564DD"/>
    <w:rsid w:val="00882A04"/>
    <w:rsid w:val="008F615F"/>
    <w:rsid w:val="009C7B98"/>
    <w:rsid w:val="00AA70DF"/>
    <w:rsid w:val="00B3456F"/>
    <w:rsid w:val="00BA58D7"/>
    <w:rsid w:val="00CC00B7"/>
    <w:rsid w:val="00CF5441"/>
    <w:rsid w:val="00DE1349"/>
    <w:rsid w:val="00E075A1"/>
    <w:rsid w:val="00E23B6E"/>
    <w:rsid w:val="00E30262"/>
    <w:rsid w:val="00E500B1"/>
    <w:rsid w:val="00E52C94"/>
    <w:rsid w:val="00EC145B"/>
    <w:rsid w:val="00F17766"/>
    <w:rsid w:val="00F557C1"/>
    <w:rsid w:val="00F826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6BDA-797A-4AA2-8B1C-7C694DDA522C}">
  <ds:schemaRefs>
    <ds:schemaRef ds:uri="http://schemas.microsoft.com/office/2006/metadata/properties"/>
    <ds:schemaRef ds:uri="http://schemas.microsoft.com/office/infopath/2007/PartnerControls"/>
    <ds:schemaRef ds:uri="713fa903-cd29-485d-95ca-4530cdb9c27f"/>
  </ds:schemaRefs>
</ds:datastoreItem>
</file>

<file path=customXml/itemProps2.xml><?xml version="1.0" encoding="utf-8"?>
<ds:datastoreItem xmlns:ds="http://schemas.openxmlformats.org/officeDocument/2006/customXml" ds:itemID="{3021C34A-819D-4F67-8FBA-5A33685D1AF9}">
  <ds:schemaRefs>
    <ds:schemaRef ds:uri="http://schemas.microsoft.com/sharepoint/v3/contenttype/forms"/>
  </ds:schemaRefs>
</ds:datastoreItem>
</file>

<file path=customXml/itemProps3.xml><?xml version="1.0" encoding="utf-8"?>
<ds:datastoreItem xmlns:ds="http://schemas.openxmlformats.org/officeDocument/2006/customXml" ds:itemID="{0CAE3800-46E6-437B-ACA2-E5D2A7EAD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429EA-4961-444A-9179-E20C8674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31165</Words>
  <Characters>17765</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3</cp:revision>
  <dcterms:created xsi:type="dcterms:W3CDTF">2023-11-09T08:30:00Z</dcterms:created>
  <dcterms:modified xsi:type="dcterms:W3CDTF">2023-11-14T06:32:00Z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