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003936" w:rsidRDefault="001775D0" w:rsidP="00003936">
      <w:pPr>
        <w:jc w:val="right"/>
        <w:rPr>
          <w:rFonts w:ascii="Times New Roman" w:hAnsi="Times New Roman"/>
          <w:lang w:val="lv-LV"/>
        </w:rPr>
      </w:pPr>
      <w:r w:rsidRPr="00003936">
        <w:rPr>
          <w:rFonts w:ascii="Times New Roman" w:hAnsi="Times New Roman"/>
          <w:lang w:val="lv-LV"/>
        </w:rPr>
        <w:t>4</w:t>
      </w:r>
      <w:r w:rsidR="006A4F26" w:rsidRPr="00003936">
        <w:rPr>
          <w:rFonts w:ascii="Times New Roman" w:hAnsi="Times New Roman"/>
          <w:lang w:val="lv-LV"/>
        </w:rPr>
        <w:t>. pielikums</w:t>
      </w:r>
    </w:p>
    <w:p w14:paraId="29F30717" w14:textId="4CD351AA" w:rsidR="006A4F26" w:rsidRPr="004D276C" w:rsidRDefault="00251D56" w:rsidP="00D4642C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Valsts pētījumu programmas “</w:t>
      </w:r>
      <w:sdt>
        <w:sdtPr>
          <w:rPr>
            <w:rFonts w:ascii="Times New Roman" w:hAnsi="Times New Roman"/>
            <w:lang w:val="lv-LV"/>
          </w:rPr>
          <w:id w:val="668375599"/>
          <w:placeholder>
            <w:docPart w:val="DefaultPlaceholder_-1854013440"/>
          </w:placeholder>
        </w:sdtPr>
        <w:sdtEndPr/>
        <w:sdtContent>
          <w:bookmarkStart w:id="0" w:name="_Hlk140070864"/>
          <w:sdt>
            <w:sdtPr>
              <w:rPr>
                <w:rFonts w:ascii="Times New Roman" w:hAnsi="Times New Roman"/>
              </w:rPr>
              <w:id w:val="2060594541"/>
              <w:placeholder>
                <w:docPart w:val="C90904A4C40E4C598C51ED1A2ACF9FA7"/>
              </w:placeholder>
            </w:sdtPr>
            <w:sdtEndPr/>
            <w:sdtContent>
              <w:proofErr w:type="spellStart"/>
              <w:r w:rsidR="00D4642C" w:rsidRPr="00853561">
                <w:rPr>
                  <w:rFonts w:ascii="Times New Roman" w:hAnsi="Times New Roman"/>
                </w:rPr>
                <w:t>S</w:t>
              </w:r>
              <w:r w:rsidR="00853561" w:rsidRPr="00853561">
                <w:rPr>
                  <w:rFonts w:ascii="Times New Roman" w:hAnsi="Times New Roman"/>
                </w:rPr>
                <w:t>abiedrības</w:t>
              </w:r>
              <w:proofErr w:type="spellEnd"/>
              <w:r w:rsidR="00853561" w:rsidRPr="00853561">
                <w:rPr>
                  <w:rFonts w:ascii="Times New Roman" w:hAnsi="Times New Roman"/>
                </w:rPr>
                <w:t xml:space="preserve"> </w:t>
              </w:r>
              <w:proofErr w:type="spellStart"/>
              <w:r w:rsidR="00853561" w:rsidRPr="00853561">
                <w:rPr>
                  <w:rFonts w:ascii="Times New Roman" w:hAnsi="Times New Roman"/>
                </w:rPr>
                <w:t>v</w:t>
              </w:r>
              <w:r w:rsidR="00853561">
                <w:rPr>
                  <w:rFonts w:ascii="Times New Roman" w:hAnsi="Times New Roman"/>
                </w:rPr>
                <w:t>eselība</w:t>
              </w:r>
              <w:proofErr w:type="spellEnd"/>
            </w:sdtContent>
          </w:sdt>
          <w:bookmarkEnd w:id="0"/>
        </w:sdtContent>
      </w:sdt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3254B313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="00003936" w:rsidRPr="002E5AD6">
        <w:rPr>
          <w:rFonts w:ascii="Times New Roman" w:hAnsi="Times New Roman"/>
          <w:lang w:val="lv-LV"/>
        </w:rPr>
        <w:t xml:space="preserve">otrā </w:t>
      </w:r>
      <w:r w:rsidRPr="002E5AD6">
        <w:rPr>
          <w:rFonts w:ascii="Times New Roman" w:hAnsi="Times New Roman"/>
          <w:lang w:val="lv-LV"/>
        </w:rPr>
        <w:t xml:space="preserve">atklātā </w:t>
      </w:r>
      <w:r w:rsidR="00251D56" w:rsidRPr="002E5AD6">
        <w:rPr>
          <w:rFonts w:ascii="Times New Roman" w:hAnsi="Times New Roman"/>
          <w:lang w:val="lv-LV"/>
        </w:rPr>
        <w:t>konkursa nolikuma</w:t>
      </w:r>
      <w:r w:rsidRPr="002E5AD6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3"/>
        <w:gridCol w:w="4269"/>
        <w:gridCol w:w="1985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F72B63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3" w:type="dxa"/>
          </w:tcPr>
          <w:p w14:paraId="1035714D" w14:textId="77777777" w:rsidR="00076D0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  <w:p w14:paraId="08239D8D" w14:textId="77777777" w:rsid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  <w:p w14:paraId="42F8B905" w14:textId="72B75981" w:rsidR="00F72B63" w:rsidRPr="00F72B63" w:rsidRDefault="00F72B63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4269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985" w:type="dxa"/>
          </w:tcPr>
          <w:p w14:paraId="5ADEBBFF" w14:textId="60370AC9" w:rsidR="00076D0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49A6AFEA" w:rsidR="00076D0C" w:rsidRPr="004D276C" w:rsidRDefault="00076D0C" w:rsidP="00F72B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4D276C" w14:paraId="2E2B99E0" w14:textId="77777777" w:rsidTr="00BE5F35">
        <w:tc>
          <w:tcPr>
            <w:tcW w:w="9493" w:type="dxa"/>
            <w:gridSpan w:val="4"/>
          </w:tcPr>
          <w:p w14:paraId="78C4BA4A" w14:textId="338D9A18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76D0C" w:rsidRPr="00DC552A" w14:paraId="1996D045" w14:textId="77777777" w:rsidTr="00F72B63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3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269" w:type="dxa"/>
          </w:tcPr>
          <w:p w14:paraId="665D82E7" w14:textId="21EBB313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</w:t>
            </w:r>
            <w:r w:rsidR="00FB1535">
              <w:rPr>
                <w:rFonts w:ascii="Times New Roman" w:hAnsi="Times New Roman"/>
                <w:lang w:val="lv-LV"/>
              </w:rPr>
              <w:t>s ir</w:t>
            </w:r>
            <w:r w:rsidRPr="004D276C">
              <w:rPr>
                <w:rFonts w:ascii="Times New Roman" w:hAnsi="Times New Roman"/>
                <w:lang w:val="lv-LV"/>
              </w:rPr>
              <w:t xml:space="preserve"> aizpild</w:t>
            </w:r>
            <w:r w:rsidR="00FB1535">
              <w:rPr>
                <w:rFonts w:ascii="Times New Roman" w:hAnsi="Times New Roman"/>
                <w:lang w:val="lv-LV"/>
              </w:rPr>
              <w:t>īts</w:t>
            </w:r>
            <w:r w:rsidRPr="004D276C">
              <w:rPr>
                <w:rFonts w:ascii="Times New Roman" w:hAnsi="Times New Roman"/>
                <w:lang w:val="lv-LV"/>
              </w:rPr>
              <w:t xml:space="preserve"> un noformē</w:t>
            </w:r>
            <w:r w:rsidR="00FB1535">
              <w:rPr>
                <w:rFonts w:ascii="Times New Roman" w:hAnsi="Times New Roman"/>
                <w:lang w:val="lv-LV"/>
              </w:rPr>
              <w:t>ts</w:t>
            </w:r>
            <w:r w:rsidRPr="004D276C">
              <w:rPr>
                <w:rFonts w:ascii="Times New Roman" w:hAnsi="Times New Roman"/>
                <w:lang w:val="lv-LV"/>
              </w:rPr>
              <w:t xml:space="preserve">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985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DC552A" w14:paraId="519ECABB" w14:textId="77777777" w:rsidTr="00F72B63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3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A838303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3.1. A daļu “Vispārīgā informācija” un tās nodaļas aizpild</w:t>
            </w:r>
            <w:r w:rsidR="00FB1535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latviešu un angļu valodā, </w:t>
            </w:r>
          </w:p>
          <w:p w14:paraId="5FA2E09E" w14:textId="72E3301F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aizpild</w:t>
            </w:r>
            <w:r w:rsidR="00FB1535">
              <w:rPr>
                <w:rFonts w:ascii="Times New Roman" w:hAnsi="Times New Roman"/>
                <w:lang w:val="lv-LV"/>
              </w:rPr>
              <w:t>īta</w:t>
            </w:r>
            <w:r w:rsidRPr="004D276C">
              <w:rPr>
                <w:rFonts w:ascii="Times New Roman" w:hAnsi="Times New Roman"/>
                <w:lang w:val="lv-LV"/>
              </w:rPr>
              <w:t xml:space="preserve"> angļu valodā (ir tiesības pievienot tulkojumu latviešu valodā),</w:t>
            </w:r>
          </w:p>
          <w:p w14:paraId="379A3F66" w14:textId="2FB97713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iesniedzēja apliecinājums”, E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sadarbības partnera-zinātniskās institūcijas apliecinājums”, F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“Projekta sadarbības partnera-valsts institūcijas apliecinājums”, G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“Finanšu apgrozījuma pārskata veidlapa”, H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“Darbības, kurām nav saimnieciska rakstura” un I daļ</w:t>
            </w:r>
            <w:r w:rsidR="00FB1535">
              <w:rPr>
                <w:rFonts w:ascii="Times New Roman" w:hAnsi="Times New Roman"/>
                <w:lang w:val="lv-LV"/>
              </w:rPr>
              <w:t>a</w:t>
            </w:r>
            <w:r w:rsidRPr="004D276C">
              <w:rPr>
                <w:rFonts w:ascii="Times New Roman" w:hAnsi="Times New Roman"/>
                <w:lang w:val="lv-LV"/>
              </w:rPr>
              <w:t xml:space="preserve"> “Horizontālie uzdevumi” </w:t>
            </w:r>
            <w:r w:rsidR="00FB1535">
              <w:rPr>
                <w:rFonts w:ascii="Times New Roman" w:hAnsi="Times New Roman"/>
                <w:lang w:val="lv-LV"/>
              </w:rPr>
              <w:t xml:space="preserve">ir </w:t>
            </w:r>
            <w:r w:rsidRPr="004D276C">
              <w:rPr>
                <w:rFonts w:ascii="Times New Roman" w:hAnsi="Times New Roman"/>
                <w:lang w:val="lv-LV"/>
              </w:rPr>
              <w:t>aizpild</w:t>
            </w:r>
            <w:r w:rsidR="00FB1535">
              <w:rPr>
                <w:rFonts w:ascii="Times New Roman" w:hAnsi="Times New Roman"/>
                <w:lang w:val="lv-LV"/>
              </w:rPr>
              <w:t>ītas</w:t>
            </w:r>
            <w:r w:rsidRPr="004D276C">
              <w:rPr>
                <w:rFonts w:ascii="Times New Roman" w:hAnsi="Times New Roman"/>
                <w:lang w:val="lv-LV"/>
              </w:rPr>
              <w:t xml:space="preserve"> tikai latviešu valodā.</w:t>
            </w:r>
          </w:p>
        </w:tc>
        <w:tc>
          <w:tcPr>
            <w:tcW w:w="1985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9B2865" w:rsidRPr="009B2865" w14:paraId="1D55E483" w14:textId="77777777" w:rsidTr="00134387">
        <w:tc>
          <w:tcPr>
            <w:tcW w:w="9493" w:type="dxa"/>
            <w:gridSpan w:val="4"/>
          </w:tcPr>
          <w:p w14:paraId="7600F221" w14:textId="3A8CCA0D" w:rsidR="009B2865" w:rsidRPr="000A6E8D" w:rsidRDefault="009B2865" w:rsidP="000A6E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0A6E8D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76D0C" w:rsidRPr="00DC552A" w14:paraId="7988968C" w14:textId="77777777" w:rsidTr="00F72B63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3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40E5419E" w14:textId="2484E23A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lastRenderedPageBreak/>
              <w:t>Projekta vadītājs un galvenie izpildītāji ir zinātnieki</w:t>
            </w:r>
            <w:r w:rsidR="00FB1535">
              <w:rPr>
                <w:rFonts w:ascii="Times New Roman" w:hAnsi="Times New Roman"/>
                <w:lang w:val="lv-LV"/>
              </w:rPr>
              <w:t>.</w:t>
            </w:r>
          </w:p>
          <w:p w14:paraId="7F5DF9E7" w14:textId="0502E7DC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  <w:r w:rsidR="00FB1535">
              <w:rPr>
                <w:rFonts w:ascii="Times New Roman" w:hAnsi="Times New Roman"/>
                <w:lang w:val="lv-LV"/>
              </w:rPr>
              <w:t>.</w:t>
            </w:r>
          </w:p>
          <w:p w14:paraId="025C3154" w14:textId="1D9F3C4F" w:rsidR="002763F6" w:rsidRDefault="002763F6" w:rsidP="006A0112">
            <w:pPr>
              <w:jc w:val="both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P</w:t>
            </w:r>
            <w:r w:rsidRPr="002763F6">
              <w:rPr>
                <w:rFonts w:ascii="Times New Roman" w:hAnsi="Times New Roman"/>
                <w:lang w:val="lv-LV"/>
              </w:rPr>
              <w:t>rojekta vadītājs, projekta galvenais izpildītājs un   projekta izpildītājs, kurš nav studējošais, slodzi pilna darba laika ekvivalenta izteiksmē (turpmāk – PLE) plāno tā, lai vienā projekta pieteikumā, kā arī projekta īstenošanas gadījumā norādītā slodze nepārsniedz 1,0 PLE.</w:t>
            </w:r>
          </w:p>
          <w:p w14:paraId="1089868B" w14:textId="1D30A4E7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4955B0" w:rsidRPr="000A6E8D">
                  <w:rPr>
                    <w:rFonts w:ascii="Times New Roman" w:hAnsi="Times New Roman"/>
                    <w:lang w:val="lv-LV"/>
                  </w:rPr>
                  <w:t>2</w:t>
                </w:r>
                <w:r w:rsidR="006C5D3B" w:rsidRPr="000A6E8D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0A6E8D">
              <w:rPr>
                <w:rFonts w:ascii="Times New Roman" w:hAnsi="Times New Roman"/>
                <w:lang w:val="lv-LV"/>
              </w:rPr>
              <w:t xml:space="preserve"> pilna</w:t>
            </w:r>
            <w:r w:rsidRPr="004D276C">
              <w:rPr>
                <w:rFonts w:ascii="Times New Roman" w:hAnsi="Times New Roman"/>
                <w:lang w:val="lv-LV"/>
              </w:rPr>
              <w:t xml:space="preserve"> laika ekvivalentiem, vienlaikus katrs studējošais attiecīgajā projekta īstenošanas </w:t>
            </w:r>
            <w:r w:rsidR="002763F6">
              <w:rPr>
                <w:rFonts w:ascii="Times New Roman" w:hAnsi="Times New Roman"/>
                <w:lang w:val="lv-LV"/>
              </w:rPr>
              <w:t>posmā</w:t>
            </w:r>
            <w:r w:rsidRPr="004D276C">
              <w:rPr>
                <w:rFonts w:ascii="Times New Roman" w:hAnsi="Times New Roman"/>
                <w:lang w:val="lv-LV"/>
              </w:rPr>
              <w:t xml:space="preserve"> tiek iesaistīts ar slodzi, kas ir ne mazāka par 0,25 PLE</w:t>
            </w:r>
            <w:r w:rsidR="002763F6">
              <w:rPr>
                <w:rFonts w:ascii="Times New Roman" w:hAnsi="Times New Roman"/>
                <w:lang w:val="lv-LV"/>
              </w:rPr>
              <w:t xml:space="preserve">  </w:t>
            </w:r>
          </w:p>
        </w:tc>
        <w:tc>
          <w:tcPr>
            <w:tcW w:w="1985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1C525870" w14:textId="77777777" w:rsidTr="00F72B63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2663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DC552A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985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9B2865" w14:paraId="498A5CA4" w14:textId="77777777" w:rsidTr="00F72B63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3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DC552A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85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DC552A" w14:paraId="72E54903" w14:textId="77777777" w:rsidTr="00F72B63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3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000F9CD8" w14:textId="2D9492B6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tieš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ās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attiecinām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ās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izmaks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as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1.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546393">
              <w:rPr>
                <w:rFonts w:ascii="Times New Roman" w:hAnsi="Times New Roman"/>
                <w:color w:val="000000"/>
                <w:lang w:val="lv-LV"/>
              </w:rPr>
              <w:t>apakš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punktam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.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N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etiešās attiecināmās izmaksas </w:t>
            </w:r>
            <w:r w:rsidR="00576DB2">
              <w:rPr>
                <w:rFonts w:ascii="Times New Roman" w:hAnsi="Times New Roman"/>
                <w:color w:val="000000"/>
                <w:lang w:val="lv-LV"/>
              </w:rPr>
              <w:t>aprēķina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>piemērojot netiešo izmaksu vienoto likmi 15 (piecpadsmit) procentu apmērā no</w:t>
            </w:r>
            <w:r w:rsidR="00D4642C" w:rsidRPr="00D4642C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</w:t>
            </w:r>
            <w:r w:rsidR="00D4642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DC552A" w14:paraId="5D7CB2A6" w14:textId="77777777" w:rsidTr="00F72B63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3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3356F0FD" w14:textId="77777777" w:rsidR="00076D0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12B72D2B" w14:textId="77777777" w:rsidR="006C5823" w:rsidRDefault="006C582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  <w:p w14:paraId="184C8717" w14:textId="77777777" w:rsidR="006C5823" w:rsidRDefault="006C5823" w:rsidP="006C58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C5823">
              <w:rPr>
                <w:rFonts w:ascii="Times New Roman" w:hAnsi="Times New Roman"/>
                <w:lang w:val="lv-LV"/>
              </w:rPr>
              <w:t xml:space="preserve">Informācijas sistēmā ir iesniegta parakstīta projekta iesnieguma D daļa “Projekta iesniedzēja apliecinājums”, E daļa “Projekta sadarbības partnera-zinātniskās institūcijas apliecinājums”, F daļa “Projekta sadarbības partnera-valsts institūcijas apliecinājums”. Informācijas sistēmā ir iesniegta H daļa, kurā ir uzrādītas darbības, kas nav saistītas ar </w:t>
            </w:r>
            <w:r w:rsidRPr="006C5823">
              <w:rPr>
                <w:rFonts w:ascii="Times New Roman" w:hAnsi="Times New Roman"/>
                <w:lang w:val="lv-LV"/>
              </w:rPr>
              <w:lastRenderedPageBreak/>
              <w:t>saimniecisko darbību.</w:t>
            </w:r>
          </w:p>
          <w:p w14:paraId="688BA013" w14:textId="25CDB52D" w:rsidR="006C5823" w:rsidRPr="004D276C" w:rsidRDefault="006C582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85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DC552A" w14:paraId="61BD19FB" w14:textId="77777777" w:rsidTr="00F72B63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3" w:type="dxa"/>
          </w:tcPr>
          <w:p w14:paraId="1EEA2A70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269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985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DC552A" w14:paraId="47BFF0C0" w14:textId="77777777" w:rsidTr="00F72B63">
        <w:tc>
          <w:tcPr>
            <w:tcW w:w="576" w:type="dxa"/>
          </w:tcPr>
          <w:p w14:paraId="2E9A9B29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3" w:type="dxa"/>
          </w:tcPr>
          <w:p w14:paraId="7C3F39B9" w14:textId="7B4E7D03" w:rsidR="00495EE3" w:rsidRPr="000A6E8D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t>projekta pieteikums atbilst nolikuma 3</w:t>
            </w:r>
            <w:r w:rsidR="001A46B2" w:rsidRPr="000A6E8D">
              <w:rPr>
                <w:rFonts w:ascii="Times New Roman" w:hAnsi="Times New Roman"/>
                <w:lang w:val="lv-LV"/>
              </w:rPr>
              <w:t>2</w:t>
            </w:r>
            <w:r w:rsidRPr="000A6E8D">
              <w:rPr>
                <w:rFonts w:ascii="Times New Roman" w:hAnsi="Times New Roman"/>
                <w:lang w:val="lv-LV"/>
              </w:rPr>
              <w:t>.</w:t>
            </w:r>
            <w:r w:rsidR="00F72B63" w:rsidRPr="000A6E8D">
              <w:rPr>
                <w:rFonts w:ascii="Times New Roman" w:hAnsi="Times New Roman"/>
                <w:lang w:val="lv-LV"/>
              </w:rPr>
              <w:t>3</w:t>
            </w:r>
            <w:r w:rsidR="001A46B2" w:rsidRPr="000A6E8D">
              <w:rPr>
                <w:rFonts w:ascii="Times New Roman" w:hAnsi="Times New Roman"/>
                <w:lang w:val="lv-LV"/>
              </w:rPr>
              <w:t>.</w:t>
            </w:r>
            <w:r w:rsidR="00F72B63" w:rsidRPr="000A6E8D">
              <w:rPr>
                <w:rFonts w:ascii="Times New Roman" w:hAnsi="Times New Roman"/>
                <w:lang w:val="lv-LV"/>
              </w:rPr>
              <w:t>1.</w:t>
            </w:r>
            <w:r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F72B63" w:rsidRPr="000A6E8D">
              <w:rPr>
                <w:rFonts w:ascii="Times New Roman" w:hAnsi="Times New Roman"/>
                <w:lang w:val="lv-LV"/>
              </w:rPr>
              <w:t>apakš</w:t>
            </w:r>
            <w:r w:rsidRPr="000A6E8D">
              <w:rPr>
                <w:rFonts w:ascii="Times New Roman" w:hAnsi="Times New Roman"/>
                <w:lang w:val="lv-LV"/>
              </w:rPr>
              <w:t>punktā noteiktaj</w:t>
            </w:r>
            <w:r w:rsidR="00F72B63" w:rsidRPr="000A6E8D">
              <w:rPr>
                <w:rFonts w:ascii="Times New Roman" w:hAnsi="Times New Roman"/>
                <w:lang w:val="lv-LV"/>
              </w:rPr>
              <w:t>a</w:t>
            </w:r>
            <w:r w:rsidRPr="000A6E8D">
              <w:rPr>
                <w:rFonts w:ascii="Times New Roman" w:hAnsi="Times New Roman"/>
                <w:lang w:val="lv-LV"/>
              </w:rPr>
              <w:t xml:space="preserve">m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0A6E8D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="001A46B2" w:rsidRPr="000A6E8D">
              <w:rPr>
                <w:rFonts w:ascii="Times New Roman" w:hAnsi="Times New Roman"/>
                <w:lang w:val="lv-LV"/>
              </w:rPr>
              <w:t xml:space="preserve"> papildu </w:t>
            </w:r>
            <w:r w:rsidRPr="000A6E8D">
              <w:rPr>
                <w:rFonts w:ascii="Times New Roman" w:hAnsi="Times New Roman"/>
                <w:lang w:val="lv-LV"/>
              </w:rPr>
              <w:t>administratīvajam kritērijam</w:t>
            </w:r>
          </w:p>
        </w:tc>
        <w:tc>
          <w:tcPr>
            <w:tcW w:w="4269" w:type="dxa"/>
          </w:tcPr>
          <w:p w14:paraId="72B810CF" w14:textId="4B909BD5" w:rsidR="00E16917" w:rsidRPr="000A6E8D" w:rsidRDefault="00A05CC6" w:rsidP="00076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0A6E8D">
              <w:rPr>
                <w:rFonts w:ascii="Times New Roman" w:hAnsi="Times New Roman"/>
                <w:lang w:val="lv-LV"/>
              </w:rPr>
              <w:t xml:space="preserve">Projekta pieteikumā ir ietverta visu Ministru kabineta </w:t>
            </w:r>
            <w:r w:rsidR="001E3029" w:rsidRPr="000A6E8D">
              <w:rPr>
                <w:rFonts w:ascii="Times New Roman" w:hAnsi="Times New Roman"/>
                <w:lang w:val="lv-LV"/>
              </w:rPr>
              <w:t>202</w:t>
            </w:r>
            <w:r w:rsidR="00444537" w:rsidRPr="000A6E8D">
              <w:rPr>
                <w:rFonts w:ascii="Times New Roman" w:hAnsi="Times New Roman"/>
                <w:lang w:val="lv-LV"/>
              </w:rPr>
              <w:t>3</w:t>
            </w:r>
            <w:r w:rsidR="001E3029" w:rsidRPr="000A6E8D">
              <w:rPr>
                <w:rFonts w:ascii="Times New Roman" w:hAnsi="Times New Roman"/>
                <w:lang w:val="lv-LV"/>
              </w:rPr>
              <w:t xml:space="preserve">. gada </w:t>
            </w:r>
            <w:r w:rsidR="004955B0" w:rsidRPr="000A6E8D">
              <w:rPr>
                <w:rFonts w:ascii="Times New Roman" w:hAnsi="Times New Roman"/>
                <w:lang w:val="lv-LV"/>
              </w:rPr>
              <w:t xml:space="preserve">26. </w:t>
            </w:r>
            <w:r w:rsidR="00D4642C" w:rsidRPr="000A6E8D">
              <w:rPr>
                <w:rFonts w:ascii="Times New Roman" w:hAnsi="Times New Roman"/>
                <w:lang w:val="lv-LV"/>
              </w:rPr>
              <w:t>septembra</w:t>
            </w:r>
            <w:r w:rsidR="001E3029" w:rsidRPr="000A6E8D">
              <w:rPr>
                <w:rFonts w:ascii="Times New Roman" w:hAnsi="Times New Roman"/>
                <w:lang w:val="lv-LV"/>
              </w:rPr>
              <w:t xml:space="preserve"> rīkojum</w:t>
            </w:r>
            <w:r w:rsidR="00252CC8" w:rsidRPr="000A6E8D">
              <w:rPr>
                <w:rFonts w:ascii="Times New Roman" w:hAnsi="Times New Roman"/>
                <w:lang w:val="lv-LV"/>
              </w:rPr>
              <w:t>a</w:t>
            </w:r>
            <w:r w:rsidR="009427C5" w:rsidRPr="000A6E8D">
              <w:rPr>
                <w:lang w:val="lv-LV"/>
              </w:rPr>
              <w:t xml:space="preserve"> </w:t>
            </w:r>
            <w:r w:rsidR="009427C5" w:rsidRPr="000A6E8D">
              <w:rPr>
                <w:rFonts w:ascii="Times New Roman" w:hAnsi="Times New Roman"/>
                <w:lang w:val="lv-LV"/>
              </w:rPr>
              <w:t xml:space="preserve">Nr. </w:t>
            </w:r>
            <w:r w:rsidR="004955B0" w:rsidRPr="000A6E8D">
              <w:rPr>
                <w:rFonts w:ascii="Times New Roman" w:hAnsi="Times New Roman"/>
                <w:lang w:val="lv-LV"/>
              </w:rPr>
              <w:t xml:space="preserve">629 </w:t>
            </w:r>
            <w:r w:rsidR="009427C5" w:rsidRPr="000A6E8D">
              <w:rPr>
                <w:rFonts w:ascii="Times New Roman" w:hAnsi="Times New Roman"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</w:rPr>
                <w:id w:val="921606599"/>
                <w:placeholder>
                  <w:docPart w:val="70951054DE7348E9A213B9FEC4BB0952"/>
                </w:placeholder>
              </w:sdtPr>
              <w:sdtEndPr/>
              <w:sdtContent>
                <w:r w:rsidR="00D4642C" w:rsidRPr="000A6E8D">
                  <w:rPr>
                    <w:rFonts w:ascii="Times New Roman" w:hAnsi="Times New Roman"/>
                    <w:lang w:val="lv-LV"/>
                  </w:rPr>
                  <w:t>S</w:t>
                </w:r>
                <w:r w:rsidR="00853561" w:rsidRPr="000A6E8D">
                  <w:rPr>
                    <w:rFonts w:ascii="Times New Roman" w:hAnsi="Times New Roman"/>
                    <w:lang w:val="lv-LV"/>
                  </w:rPr>
                  <w:t>abiedrības veselība</w:t>
                </w:r>
              </w:sdtContent>
            </w:sdt>
            <w:r w:rsidR="009427C5" w:rsidRPr="000A6E8D">
              <w:rPr>
                <w:rFonts w:ascii="Times New Roman" w:hAnsi="Times New Roman"/>
                <w:lang w:val="lv-LV"/>
              </w:rPr>
              <w:t>”</w:t>
            </w:r>
            <w:r w:rsidR="00D4642C" w:rsidRPr="000A6E8D">
              <w:rPr>
                <w:rFonts w:ascii="Times New Roman" w:hAnsi="Times New Roman"/>
                <w:lang w:val="lv-LV"/>
              </w:rPr>
              <w:t>’</w:t>
            </w:r>
            <w:r w:rsidR="009427C5" w:rsidRPr="000A6E8D">
              <w:rPr>
                <w:rFonts w:ascii="Times New Roman" w:hAnsi="Times New Roman"/>
                <w:lang w:val="lv-LV"/>
              </w:rPr>
              <w:t xml:space="preserve"> </w:t>
            </w:r>
            <w:r w:rsidR="00853561" w:rsidRPr="000A6E8D">
              <w:rPr>
                <w:rFonts w:ascii="Times New Roman" w:hAnsi="Times New Roman"/>
                <w:lang w:val="lv-LV"/>
              </w:rPr>
              <w:t>8</w:t>
            </w:r>
            <w:r w:rsidR="00AF04AA" w:rsidRPr="000A6E8D">
              <w:rPr>
                <w:rFonts w:ascii="Times New Roman" w:hAnsi="Times New Roman"/>
                <w:lang w:val="lv-LV"/>
              </w:rPr>
              <w:t xml:space="preserve">. </w:t>
            </w:r>
            <w:r w:rsidRPr="000A6E8D">
              <w:rPr>
                <w:rFonts w:ascii="Times New Roman" w:hAnsi="Times New Roman"/>
                <w:lang w:val="lv-LV"/>
              </w:rPr>
              <w:t xml:space="preserve">punktā noteikto </w:t>
            </w:r>
            <w:r w:rsidR="00514960" w:rsidRPr="000A6E8D">
              <w:rPr>
                <w:rFonts w:ascii="Times New Roman" w:hAnsi="Times New Roman"/>
                <w:lang w:val="lv-LV"/>
              </w:rPr>
              <w:t xml:space="preserve"> (horizontālo) </w:t>
            </w:r>
            <w:r w:rsidRPr="000A6E8D">
              <w:rPr>
                <w:rFonts w:ascii="Times New Roman" w:hAnsi="Times New Roman"/>
                <w:lang w:val="lv-LV"/>
              </w:rPr>
              <w:t>uzdevumu izpilde</w:t>
            </w:r>
            <w:r w:rsidR="005762F6" w:rsidRPr="000A6E8D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985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DC552A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A8F3" w14:textId="77777777" w:rsidR="00EC2620" w:rsidRDefault="00EC2620" w:rsidP="00036815">
      <w:r>
        <w:separator/>
      </w:r>
    </w:p>
  </w:endnote>
  <w:endnote w:type="continuationSeparator" w:id="0">
    <w:p w14:paraId="3500938A" w14:textId="77777777" w:rsidR="00EC2620" w:rsidRDefault="00EC2620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9485" w14:textId="77777777" w:rsidR="00EC2620" w:rsidRDefault="00EC2620" w:rsidP="00036815">
      <w:r>
        <w:separator/>
      </w:r>
    </w:p>
  </w:footnote>
  <w:footnote w:type="continuationSeparator" w:id="0">
    <w:p w14:paraId="06402041" w14:textId="77777777" w:rsidR="00EC2620" w:rsidRDefault="00EC2620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5347"/>
    <w:multiLevelType w:val="hybridMultilevel"/>
    <w:tmpl w:val="677EE0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670842">
    <w:abstractNumId w:val="1"/>
  </w:num>
  <w:num w:numId="2" w16cid:durableId="1355688989">
    <w:abstractNumId w:val="2"/>
  </w:num>
  <w:num w:numId="3" w16cid:durableId="75316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3936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6D70"/>
    <w:rsid w:val="000A6E8D"/>
    <w:rsid w:val="000F0740"/>
    <w:rsid w:val="000F7001"/>
    <w:rsid w:val="000F76B8"/>
    <w:rsid w:val="00106D99"/>
    <w:rsid w:val="0011151A"/>
    <w:rsid w:val="00113994"/>
    <w:rsid w:val="00134432"/>
    <w:rsid w:val="0013487C"/>
    <w:rsid w:val="001554D4"/>
    <w:rsid w:val="001775D0"/>
    <w:rsid w:val="001A2F78"/>
    <w:rsid w:val="001A46B2"/>
    <w:rsid w:val="001B0EE1"/>
    <w:rsid w:val="001E3029"/>
    <w:rsid w:val="001E50C7"/>
    <w:rsid w:val="001F2143"/>
    <w:rsid w:val="002302EF"/>
    <w:rsid w:val="0023067A"/>
    <w:rsid w:val="00251D56"/>
    <w:rsid w:val="00252CC8"/>
    <w:rsid w:val="002763F6"/>
    <w:rsid w:val="002800A8"/>
    <w:rsid w:val="002A1D6A"/>
    <w:rsid w:val="002B0408"/>
    <w:rsid w:val="002D0659"/>
    <w:rsid w:val="002D49C6"/>
    <w:rsid w:val="002D5428"/>
    <w:rsid w:val="002E5AD6"/>
    <w:rsid w:val="002E6D4B"/>
    <w:rsid w:val="002F726B"/>
    <w:rsid w:val="00322974"/>
    <w:rsid w:val="00330949"/>
    <w:rsid w:val="0038075E"/>
    <w:rsid w:val="00380A2F"/>
    <w:rsid w:val="003A578B"/>
    <w:rsid w:val="003F0DB5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8162E"/>
    <w:rsid w:val="00491B36"/>
    <w:rsid w:val="004955B0"/>
    <w:rsid w:val="00495EE3"/>
    <w:rsid w:val="00497F01"/>
    <w:rsid w:val="004B5322"/>
    <w:rsid w:val="004B66B1"/>
    <w:rsid w:val="004D276C"/>
    <w:rsid w:val="0050551A"/>
    <w:rsid w:val="00505B14"/>
    <w:rsid w:val="00514960"/>
    <w:rsid w:val="00546393"/>
    <w:rsid w:val="00550970"/>
    <w:rsid w:val="005559C4"/>
    <w:rsid w:val="00555D60"/>
    <w:rsid w:val="00562455"/>
    <w:rsid w:val="005762F6"/>
    <w:rsid w:val="00576DB2"/>
    <w:rsid w:val="00584D8B"/>
    <w:rsid w:val="00590EC9"/>
    <w:rsid w:val="005B3481"/>
    <w:rsid w:val="005B6083"/>
    <w:rsid w:val="005B7C05"/>
    <w:rsid w:val="006069E0"/>
    <w:rsid w:val="00616000"/>
    <w:rsid w:val="00630000"/>
    <w:rsid w:val="006304CD"/>
    <w:rsid w:val="00634A95"/>
    <w:rsid w:val="00655C98"/>
    <w:rsid w:val="006574F3"/>
    <w:rsid w:val="006975B2"/>
    <w:rsid w:val="006A0112"/>
    <w:rsid w:val="006A061D"/>
    <w:rsid w:val="006A2AFF"/>
    <w:rsid w:val="006A4F26"/>
    <w:rsid w:val="006B2CC4"/>
    <w:rsid w:val="006C5823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74D44"/>
    <w:rsid w:val="00786388"/>
    <w:rsid w:val="007B1C2B"/>
    <w:rsid w:val="007D448D"/>
    <w:rsid w:val="007E6E59"/>
    <w:rsid w:val="00814503"/>
    <w:rsid w:val="0081574D"/>
    <w:rsid w:val="008158F4"/>
    <w:rsid w:val="008252FF"/>
    <w:rsid w:val="008258D7"/>
    <w:rsid w:val="00852418"/>
    <w:rsid w:val="00853561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71335"/>
    <w:rsid w:val="00976732"/>
    <w:rsid w:val="009A23D6"/>
    <w:rsid w:val="009A61B8"/>
    <w:rsid w:val="009B2865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AF291A"/>
    <w:rsid w:val="00B10B8E"/>
    <w:rsid w:val="00B1393C"/>
    <w:rsid w:val="00B43844"/>
    <w:rsid w:val="00B80E67"/>
    <w:rsid w:val="00B907FE"/>
    <w:rsid w:val="00BA2A1F"/>
    <w:rsid w:val="00BC5487"/>
    <w:rsid w:val="00BF2CF8"/>
    <w:rsid w:val="00C17404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C52AC"/>
    <w:rsid w:val="00CF0491"/>
    <w:rsid w:val="00D30E99"/>
    <w:rsid w:val="00D4642C"/>
    <w:rsid w:val="00D52F1F"/>
    <w:rsid w:val="00D712A2"/>
    <w:rsid w:val="00D82C8E"/>
    <w:rsid w:val="00D90FB8"/>
    <w:rsid w:val="00D94009"/>
    <w:rsid w:val="00DA1C61"/>
    <w:rsid w:val="00DA4BD9"/>
    <w:rsid w:val="00DC3019"/>
    <w:rsid w:val="00DC303B"/>
    <w:rsid w:val="00DC552A"/>
    <w:rsid w:val="00DD179D"/>
    <w:rsid w:val="00DD3E04"/>
    <w:rsid w:val="00E07CFE"/>
    <w:rsid w:val="00E16917"/>
    <w:rsid w:val="00E17BB9"/>
    <w:rsid w:val="00E33112"/>
    <w:rsid w:val="00E40FD5"/>
    <w:rsid w:val="00E4152B"/>
    <w:rsid w:val="00E54CF1"/>
    <w:rsid w:val="00E76BD2"/>
    <w:rsid w:val="00E80CD6"/>
    <w:rsid w:val="00EB5F20"/>
    <w:rsid w:val="00EB6FFD"/>
    <w:rsid w:val="00EC2620"/>
    <w:rsid w:val="00EC3B5C"/>
    <w:rsid w:val="00ED3755"/>
    <w:rsid w:val="00F07C85"/>
    <w:rsid w:val="00F172C3"/>
    <w:rsid w:val="00F325FF"/>
    <w:rsid w:val="00F503BE"/>
    <w:rsid w:val="00F63BB1"/>
    <w:rsid w:val="00F72B63"/>
    <w:rsid w:val="00FA43D1"/>
    <w:rsid w:val="00FB1535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904A4C40E4C598C51ED1A2ACF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F229-1604-4DB8-95F5-9D71ACFB0F95}"/>
      </w:docPartPr>
      <w:docPartBody>
        <w:p w:rsidR="000F0510" w:rsidRDefault="00F4748E" w:rsidP="00F4748E">
          <w:pPr>
            <w:pStyle w:val="C90904A4C40E4C598C51ED1A2ACF9FA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51054DE7348E9A213B9FEC4BB0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B2CE-F8B5-4A56-8038-D4A11A8F346B}"/>
      </w:docPartPr>
      <w:docPartBody>
        <w:p w:rsidR="000F0510" w:rsidRDefault="00F4748E" w:rsidP="00F4748E">
          <w:pPr>
            <w:pStyle w:val="70951054DE7348E9A213B9FEC4BB095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455B6"/>
    <w:rsid w:val="000F0510"/>
    <w:rsid w:val="00231117"/>
    <w:rsid w:val="0027252E"/>
    <w:rsid w:val="00405B47"/>
    <w:rsid w:val="00514F8F"/>
    <w:rsid w:val="005331D8"/>
    <w:rsid w:val="005761C1"/>
    <w:rsid w:val="0087582B"/>
    <w:rsid w:val="00974CFC"/>
    <w:rsid w:val="00A738FE"/>
    <w:rsid w:val="00B60B8E"/>
    <w:rsid w:val="00B72422"/>
    <w:rsid w:val="00C178B2"/>
    <w:rsid w:val="00C77112"/>
    <w:rsid w:val="00D236C9"/>
    <w:rsid w:val="00E9735F"/>
    <w:rsid w:val="00ED0B3C"/>
    <w:rsid w:val="00F03FFE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  <w:style w:type="paragraph" w:customStyle="1" w:styleId="C90904A4C40E4C598C51ED1A2ACF9FA7">
    <w:name w:val="C90904A4C40E4C598C51ED1A2ACF9FA7"/>
    <w:rsid w:val="00F4748E"/>
  </w:style>
  <w:style w:type="paragraph" w:customStyle="1" w:styleId="70951054DE7348E9A213B9FEC4BB0952">
    <w:name w:val="70951054DE7348E9A213B9FEC4BB0952"/>
    <w:rsid w:val="00F4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6</cp:revision>
  <dcterms:created xsi:type="dcterms:W3CDTF">2024-04-16T11:44:00Z</dcterms:created>
  <dcterms:modified xsi:type="dcterms:W3CDTF">2024-04-22T10:21:00Z</dcterms:modified>
</cp:coreProperties>
</file>