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112ECD78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432C75">
            <w:rPr>
              <w:rFonts w:ascii="Times New Roman" w:hAnsi="Times New Roman" w:cs="Times New Roman"/>
              <w:sz w:val="24"/>
            </w:rPr>
            <w:t>Izglītība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517564DA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projektu pieteikumu </w:t>
      </w:r>
      <w:r w:rsidR="00202472" w:rsidRPr="00521895">
        <w:rPr>
          <w:rFonts w:ascii="Times New Roman" w:eastAsia="MS Mincho" w:hAnsi="Times New Roman" w:cs="Times New Roman"/>
          <w:sz w:val="24"/>
          <w:szCs w:val="24"/>
        </w:rPr>
        <w:t>treš</w:t>
      </w:r>
      <w:r w:rsidR="009463D9" w:rsidRPr="00521895">
        <w:rPr>
          <w:rFonts w:ascii="Times New Roman" w:eastAsia="MS Mincho" w:hAnsi="Times New Roman" w:cs="Times New Roman"/>
          <w:sz w:val="24"/>
          <w:szCs w:val="24"/>
        </w:rPr>
        <w:t xml:space="preserve">ā </w:t>
      </w:r>
      <w:r w:rsidRPr="00521895">
        <w:rPr>
          <w:rFonts w:ascii="Times New Roman" w:eastAsia="MS Mincho" w:hAnsi="Times New Roman" w:cs="Times New Roman"/>
          <w:sz w:val="24"/>
          <w:szCs w:val="24"/>
        </w:rPr>
        <w:t>atklātā</w:t>
      </w: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7BE080E7" w:rsidR="00193405" w:rsidRPr="005A1DB9" w:rsidRDefault="009463D9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Pakalpojumu 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Līgums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Rīga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39FA6DA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EA5408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</w:t>
                </w:r>
                <w:r w:rsidR="00EA5408">
                  <w:rPr>
                    <w:rFonts w:ascii="Times New Roman" w:hAnsi="Times New Roman" w:cs="Times New Roman"/>
                    <w:sz w:val="24"/>
                    <w:szCs w:val="24"/>
                  </w:rPr>
                  <w:t>s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4B64447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– Puses</w:t>
            </w:r>
            <w:r w:rsidR="00E401A8">
              <w:rPr>
                <w:rFonts w:ascii="Times New Roman" w:hAnsi="Times New Roman" w:cs="Times New Roman"/>
                <w:sz w:val="24"/>
                <w:szCs w:val="24"/>
              </w:rPr>
              <w:t>, katra atsevišķi – Puse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4E8AFC4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6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2E90237D" w14:textId="5198CB4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Padome pasūta un Eksperts, pamatojoties uz savu zinātnisko kvalifikāciju un pieredzi projekta pieteikuma zinātnes nozarē</w:t>
            </w:r>
            <w:r w:rsidR="00661A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432C75">
                  <w:rPr>
                    <w:rFonts w:ascii="Times New Roman" w:hAnsi="Times New Roman" w:cs="Times New Roman"/>
                    <w:sz w:val="24"/>
                  </w:rPr>
                  <w:t>Izglītība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” projektu pieteikumu </w:t>
            </w:r>
            <w:r w:rsidR="009463D9">
              <w:rPr>
                <w:rFonts w:ascii="Times New Roman" w:hAnsi="Times New Roman" w:cs="Times New Roman"/>
                <w:sz w:val="24"/>
                <w:szCs w:val="24"/>
              </w:rPr>
              <w:t xml:space="preserve">otrajā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6FA773E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1E6F7A6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</w:t>
            </w:r>
            <w:r w:rsidR="006035A2">
              <w:rPr>
                <w:rFonts w:ascii="Times New Roman" w:hAnsi="Times New Roman" w:cs="Times New Roman"/>
                <w:sz w:val="24"/>
                <w:szCs w:val="24"/>
              </w:rPr>
              <w:t xml:space="preserve">pamatojošu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argumentāciju dotajam novērtējumam, kā arī atbilstoš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vispārējām starptautiskās līdzinieku vērtēšanas (</w:t>
            </w:r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15372C0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="009463D9" w:rsidRPr="00CE075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946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4919EC6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018BF5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DA52" w14:textId="12BC5A5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BEF3D5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</w:t>
            </w:r>
            <w:r w:rsidR="00C76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tiks izmantoti 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 xml:space="preserve">Samaksas par pakalpojumu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4B5274F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</w:t>
            </w:r>
            <w:r w:rsidR="008E63E4" w:rsidRPr="005A1DB9">
              <w:rPr>
                <w:rFonts w:ascii="Times New Roman" w:hAnsi="Times New Roman" w:cs="Times New Roman"/>
                <w:sz w:val="24"/>
                <w:szCs w:val="24"/>
              </w:rPr>
              <w:t>Padomes prezentācijai par informācijas sistēmas lietošanu;</w:t>
            </w:r>
            <w:r w:rsidR="008E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prezentācijai par projektu konkursu. </w:t>
            </w:r>
          </w:p>
          <w:p w14:paraId="3F3E7AA5" w14:textId="77777777" w:rsidR="008E63E4" w:rsidRPr="005A1DB9" w:rsidRDefault="008E63E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314D0FC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</w:t>
            </w:r>
            <w:r w:rsidR="00AA6B13">
              <w:rPr>
                <w:rFonts w:ascii="Times New Roman" w:hAnsi="Times New Roman" w:cs="Times New Roman"/>
                <w:sz w:val="24"/>
                <w:szCs w:val="24"/>
              </w:rPr>
              <w:t>, kā arī programmas “Izglītība” īstenošanas un uzraudzības komisijas locekļiem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5C82E1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samaksa par pakalpojumu par kvalitatīvi, savlaicīgi sagatavotu un nodotu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573F99" w:rsidRPr="00CE0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573F99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saskaņā ar Līguma nosacījumiem un Projektu sarakstu</w:t>
            </w:r>
            <w:r w:rsidR="00CE07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 xml:space="preserve">sastāda </w:t>
            </w:r>
            <w:r w:rsidRPr="005A1DB9">
              <w:rPr>
                <w:rStyle w:val="PlaceholderText"/>
              </w:rPr>
              <w:t>[Subject]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573F99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6240565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Pēc </w:t>
            </w:r>
            <w:r w:rsidR="0056645B" w:rsidRPr="00D77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apstiprināšanas informācijas sistēmā, kā arī Līguma 2.8. apakšpunkta gadījumā, Padome 3 (trīs) 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dienu laikā pārbauda Vērtējuma/ </w:t>
            </w:r>
            <w:r w:rsidR="0056645B" w:rsidRPr="00376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Konsolidētā vērtējuma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kvalitāti un atbilstību Metodikai. Ja 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="0056645B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645B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="0056645B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B907" w14:textId="77777777" w:rsidR="00346EF8" w:rsidRPr="005A1DB9" w:rsidRDefault="00193405" w:rsidP="00346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izmaksā Padome vienreizējā maksājumā uz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Eksperta norēķinu kontu bankā 30 (trīsdesmit) dienu laikā pēc Līguma  4.2. apakšpunktā </w:t>
            </w:r>
            <w:r w:rsidR="00346EF8"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6EF8"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="00346EF8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</w:t>
            </w:r>
            <w:r w:rsidR="0034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2B5B7B1F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samazin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āt pakalpojuma samaksu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nepilda Līguma 1. punktā noteiktos Darbus un/vai Līguma 2. punktā noteiktās saistības bez objektīva pamatojuma. Šādā gadījumā Padome sagatavo atbilstošu Līguma saistību neizpildes fakta konstatācijas aktu un nosūta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3E1F146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4.5. Padomei ir tiesības piemērot ekspertam līgumsodu 100% apmērā no </w:t>
            </w:r>
            <w:r w:rsidR="00081E7E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63D330C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A205D0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A205D0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Noslēguma noteikumi</w:t>
            </w:r>
          </w:p>
          <w:p w14:paraId="2CF5C5FF" w14:textId="74B483F5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4 (četrām) lapām, ar 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566B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="00842DEA">
              <w:rPr>
                <w:rFonts w:ascii="Times New Roman" w:hAnsi="Times New Roman" w:cs="Times New Roman"/>
                <w:sz w:val="24"/>
                <w:szCs w:val="24"/>
              </w:rPr>
              <w:t>īs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275A" w14:textId="77777777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9.2. Līguma pielikumi ir Projektu saraksts, Metodika un Apliecinājums,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kas ir Līguma neatņemamas sastāvdaļas. </w:t>
            </w:r>
          </w:p>
          <w:p w14:paraId="0BB4FFF0" w14:textId="77777777" w:rsidR="00A205D0" w:rsidRDefault="00A205D0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9040" w14:textId="77777777" w:rsidR="00842DEA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nosūta divus autentiskus Līguma eksemplārus papīra variantā Padomei, kura paraksta Līgumu un vienu no tiem nosūta Ekspertam. Vienlaikus Eksperts nosūta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 Ja Līgumu paraksta ar drošu elektronisko parakstu, Eksperts elektroniski parakstītu Līgumu nosūta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   . </w:t>
            </w:r>
          </w:p>
          <w:p w14:paraId="46EE2B1C" w14:textId="2C5FA631" w:rsidR="00A205D0" w:rsidRPr="005A1DB9" w:rsidRDefault="00842DEA" w:rsidP="0084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9.4.Līgums stājas dienā, kad to paraksta pēdējā no Pusēm.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0B9497E4" w:rsidR="00193405" w:rsidRPr="00D75246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7524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DAC7520" w:rsidR="00193405" w:rsidRPr="00D75246" w:rsidRDefault="00E401A8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Eksperts</w:t>
            </w:r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44C5F65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1C7E8781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05334CC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3835BD6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5A55B14F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  <w:r w:rsidR="00A34C80" w:rsidRPr="005A1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9E0F4" w14:textId="5DA89345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</w:p>
          <w:p w14:paraId="0067B7AE" w14:textId="10871AF9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FE39D2" w14:textId="231609DB" w:rsidR="00193405" w:rsidRPr="0020247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024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4FCFC31" w14:textId="448F69B5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65A2102E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04AE6CCA" w:rsidR="00193405" w:rsidRPr="0020247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0247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341C0766" w14:textId="77777777" w:rsidR="00193405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 Nr.</w:t>
            </w:r>
            <w:r w:rsidR="00A34C8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/IBAN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46F7F314" w:rsidR="00A34C80" w:rsidRPr="005A1DB9" w:rsidRDefault="00A34C80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SWIFT/BIC: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2F7E24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6506" w14:textId="77777777" w:rsidR="008C313A" w:rsidRDefault="008C313A" w:rsidP="002161C7">
      <w:pPr>
        <w:spacing w:after="0" w:line="240" w:lineRule="auto"/>
      </w:pPr>
      <w:r>
        <w:separator/>
      </w:r>
    </w:p>
  </w:endnote>
  <w:endnote w:type="continuationSeparator" w:id="0">
    <w:p w14:paraId="2C13A9F2" w14:textId="77777777" w:rsidR="008C313A" w:rsidRDefault="008C313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22EC" w14:textId="77777777" w:rsidR="008C313A" w:rsidRDefault="008C313A" w:rsidP="002161C7">
      <w:pPr>
        <w:spacing w:after="0" w:line="240" w:lineRule="auto"/>
      </w:pPr>
      <w:r>
        <w:separator/>
      </w:r>
    </w:p>
  </w:footnote>
  <w:footnote w:type="continuationSeparator" w:id="0">
    <w:p w14:paraId="1A31B5C8" w14:textId="77777777" w:rsidR="008C313A" w:rsidRDefault="008C313A" w:rsidP="0021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16AB"/>
    <w:rsid w:val="00054A37"/>
    <w:rsid w:val="0005634C"/>
    <w:rsid w:val="00061117"/>
    <w:rsid w:val="0006381F"/>
    <w:rsid w:val="00063EA9"/>
    <w:rsid w:val="000641CC"/>
    <w:rsid w:val="0007344C"/>
    <w:rsid w:val="00081E7E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817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77EA6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55A"/>
    <w:rsid w:val="001B0726"/>
    <w:rsid w:val="001B22A5"/>
    <w:rsid w:val="001B45E3"/>
    <w:rsid w:val="001B48C2"/>
    <w:rsid w:val="001B49FD"/>
    <w:rsid w:val="001B4E0A"/>
    <w:rsid w:val="001B5146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1F59F1"/>
    <w:rsid w:val="00202472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7E24"/>
    <w:rsid w:val="003017A0"/>
    <w:rsid w:val="00304D9A"/>
    <w:rsid w:val="003054B4"/>
    <w:rsid w:val="00306A63"/>
    <w:rsid w:val="0030717C"/>
    <w:rsid w:val="00312343"/>
    <w:rsid w:val="00314471"/>
    <w:rsid w:val="00314E7E"/>
    <w:rsid w:val="0031722D"/>
    <w:rsid w:val="00321854"/>
    <w:rsid w:val="0032338B"/>
    <w:rsid w:val="003324F7"/>
    <w:rsid w:val="00334AFD"/>
    <w:rsid w:val="00336EAD"/>
    <w:rsid w:val="00337BD0"/>
    <w:rsid w:val="0034061C"/>
    <w:rsid w:val="00341F80"/>
    <w:rsid w:val="00345716"/>
    <w:rsid w:val="00346EF8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6170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E7DC6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265AC"/>
    <w:rsid w:val="00430948"/>
    <w:rsid w:val="00431173"/>
    <w:rsid w:val="00432C75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4F741D"/>
    <w:rsid w:val="00500E33"/>
    <w:rsid w:val="00501DDC"/>
    <w:rsid w:val="00505E54"/>
    <w:rsid w:val="005135DD"/>
    <w:rsid w:val="005148C5"/>
    <w:rsid w:val="00515F87"/>
    <w:rsid w:val="00520E00"/>
    <w:rsid w:val="00521895"/>
    <w:rsid w:val="00522DA3"/>
    <w:rsid w:val="005274FD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6645B"/>
    <w:rsid w:val="00570B5A"/>
    <w:rsid w:val="00570B7B"/>
    <w:rsid w:val="00573F99"/>
    <w:rsid w:val="005814C3"/>
    <w:rsid w:val="00591D6B"/>
    <w:rsid w:val="00593A39"/>
    <w:rsid w:val="0059441A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C58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35A2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5AD"/>
    <w:rsid w:val="00650619"/>
    <w:rsid w:val="00650DC1"/>
    <w:rsid w:val="00654268"/>
    <w:rsid w:val="0065608E"/>
    <w:rsid w:val="00660E76"/>
    <w:rsid w:val="00661A0C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24D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3A9D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777E5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E74D7"/>
    <w:rsid w:val="007F0350"/>
    <w:rsid w:val="007F5EA4"/>
    <w:rsid w:val="00807C38"/>
    <w:rsid w:val="00812572"/>
    <w:rsid w:val="0081292D"/>
    <w:rsid w:val="0081772A"/>
    <w:rsid w:val="00826A9E"/>
    <w:rsid w:val="008400EC"/>
    <w:rsid w:val="00842DEA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313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63E4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463D9"/>
    <w:rsid w:val="00947CC4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05D0"/>
    <w:rsid w:val="00A21BAC"/>
    <w:rsid w:val="00A22742"/>
    <w:rsid w:val="00A26F44"/>
    <w:rsid w:val="00A27EE5"/>
    <w:rsid w:val="00A34411"/>
    <w:rsid w:val="00A34A05"/>
    <w:rsid w:val="00A34C80"/>
    <w:rsid w:val="00A352DE"/>
    <w:rsid w:val="00A37DBC"/>
    <w:rsid w:val="00A40DB8"/>
    <w:rsid w:val="00A41AF5"/>
    <w:rsid w:val="00A42120"/>
    <w:rsid w:val="00A46E24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6B13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3486"/>
    <w:rsid w:val="00B0456B"/>
    <w:rsid w:val="00B0465B"/>
    <w:rsid w:val="00B06E7A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656D"/>
    <w:rsid w:val="00B9774E"/>
    <w:rsid w:val="00BA2037"/>
    <w:rsid w:val="00BA2FC8"/>
    <w:rsid w:val="00BA5D36"/>
    <w:rsid w:val="00BA5E5C"/>
    <w:rsid w:val="00BA7735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3A93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24B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5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363B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5246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1A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5408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2EF5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566B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3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1B5146"/>
    <w:rsid w:val="001F59F1"/>
    <w:rsid w:val="00395086"/>
    <w:rsid w:val="00407277"/>
    <w:rsid w:val="004874CC"/>
    <w:rsid w:val="004A01F7"/>
    <w:rsid w:val="004F741D"/>
    <w:rsid w:val="00523B8A"/>
    <w:rsid w:val="0054399C"/>
    <w:rsid w:val="0055397E"/>
    <w:rsid w:val="0059441A"/>
    <w:rsid w:val="005C4D96"/>
    <w:rsid w:val="005D0C58"/>
    <w:rsid w:val="005F3D39"/>
    <w:rsid w:val="00753ACE"/>
    <w:rsid w:val="007D6D35"/>
    <w:rsid w:val="00805616"/>
    <w:rsid w:val="00810E35"/>
    <w:rsid w:val="008459BC"/>
    <w:rsid w:val="00B05A8A"/>
    <w:rsid w:val="00BA7735"/>
    <w:rsid w:val="00BF4A7A"/>
    <w:rsid w:val="00C85637"/>
    <w:rsid w:val="00D25D95"/>
    <w:rsid w:val="00D3363B"/>
    <w:rsid w:val="00EB4AA2"/>
    <w:rsid w:val="00F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5904</Words>
  <Characters>3366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</Manager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Jolanta Vanadziņa</cp:lastModifiedBy>
  <cp:revision>12</cp:revision>
  <cp:lastPrinted>2024-09-12T11:57:00Z</cp:lastPrinted>
  <dcterms:created xsi:type="dcterms:W3CDTF">2024-09-09T14:08:00Z</dcterms:created>
  <dcterms:modified xsi:type="dcterms:W3CDTF">2024-09-12T12:09:00Z</dcterms:modified>
</cp:coreProperties>
</file>