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35" w:rsidRPr="006146D4" w:rsidRDefault="00022835" w:rsidP="00022835">
      <w:pPr>
        <w:pStyle w:val="Heading1"/>
      </w:pPr>
      <w:bookmarkStart w:id="0" w:name="_Toc172041914"/>
      <w:r>
        <w:t>Part B</w:t>
      </w:r>
      <w:bookmarkEnd w:id="0"/>
      <w:r>
        <w:t xml:space="preserve"> </w:t>
      </w:r>
    </w:p>
    <w:p w:rsidR="00022835" w:rsidRPr="006146D4" w:rsidRDefault="00022835" w:rsidP="00022835">
      <w:pPr>
        <w:pStyle w:val="Heading1"/>
      </w:pPr>
      <w:bookmarkStart w:id="1" w:name="_Toc172041915"/>
      <w:r>
        <w:t>Platform description</w:t>
      </w:r>
      <w:bookmarkEnd w:id="1"/>
      <w:r>
        <w:t xml:space="preserve"> </w:t>
      </w:r>
    </w:p>
    <w:p w:rsidR="00022835" w:rsidRPr="00022835" w:rsidRDefault="00022835" w:rsidP="00022835">
      <w:pPr>
        <w:spacing w:after="0"/>
        <w:rPr>
          <w:color w:val="000000"/>
          <w:lang w:bidi="en-US"/>
        </w:rPr>
      </w:pPr>
    </w:p>
    <w:p w:rsidR="00022835" w:rsidRPr="009C5FAE" w:rsidRDefault="00022835" w:rsidP="00022835">
      <w:pPr>
        <w:spacing w:after="0" w:line="240" w:lineRule="auto"/>
        <w:rPr>
          <w:rFonts w:asciiTheme="majorBidi" w:hAnsiTheme="majorBidi" w:cstheme="majorBidi"/>
          <w:color w:val="000000"/>
        </w:rPr>
      </w:pPr>
      <w:bookmarkStart w:id="2" w:name="_GoBack"/>
      <w:r w:rsidRPr="009C5FAE">
        <w:rPr>
          <w:rFonts w:asciiTheme="majorBidi" w:hAnsiTheme="majorBidi" w:cstheme="majorBidi"/>
          <w:color w:val="000000"/>
        </w:rPr>
        <w:t>Platform title:</w:t>
      </w:r>
    </w:p>
    <w:p w:rsidR="00022835" w:rsidRPr="009C5FAE" w:rsidRDefault="00022835" w:rsidP="00022835">
      <w:pPr>
        <w:spacing w:after="0" w:line="240" w:lineRule="auto"/>
        <w:rPr>
          <w:rFonts w:asciiTheme="majorBidi" w:hAnsiTheme="majorBidi" w:cstheme="majorBidi"/>
          <w:b/>
          <w:bCs/>
          <w:szCs w:val="24"/>
        </w:rPr>
      </w:pPr>
    </w:p>
    <w:p w:rsidR="00022835" w:rsidRPr="009C5FAE" w:rsidRDefault="00022835" w:rsidP="00022835">
      <w:pPr>
        <w:spacing w:after="0" w:line="240" w:lineRule="auto"/>
        <w:rPr>
          <w:rFonts w:asciiTheme="majorBidi" w:hAnsiTheme="majorBidi" w:cstheme="majorBidi"/>
          <w:b/>
        </w:rPr>
      </w:pPr>
      <w:r w:rsidRPr="009C5FAE">
        <w:rPr>
          <w:rFonts w:asciiTheme="majorBidi" w:hAnsiTheme="majorBidi" w:cstheme="majorBidi"/>
          <w:b/>
        </w:rPr>
        <w:t>1 Scientific and innovative quality in accordance with Sub-paragraph 69.</w:t>
      </w:r>
      <w:r w:rsidRPr="009C5FAE">
        <w:rPr>
          <w:rFonts w:asciiTheme="majorBidi" w:hAnsiTheme="majorBidi" w:cstheme="majorBidi"/>
          <w:b/>
          <w:vertAlign w:val="superscript"/>
        </w:rPr>
        <w:t>18</w:t>
      </w:r>
      <w:r w:rsidRPr="009C5FAE">
        <w:rPr>
          <w:rFonts w:asciiTheme="majorBidi" w:hAnsiTheme="majorBidi" w:cstheme="majorBidi"/>
          <w:b/>
        </w:rPr>
        <w:t xml:space="preserve">4 of the Cabinet Regulation. </w:t>
      </w:r>
    </w:p>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1.1 The implementation model of the platform (including taking into account the provisions of Paragraph 69.</w:t>
            </w:r>
            <w:r w:rsidRPr="009C5FAE">
              <w:rPr>
                <w:rFonts w:asciiTheme="majorBidi" w:hAnsiTheme="majorBidi" w:cstheme="majorBidi"/>
                <w:color w:val="000000"/>
                <w:vertAlign w:val="superscript"/>
              </w:rPr>
              <w:t>21</w:t>
            </w:r>
            <w:r w:rsidRPr="009C5FAE">
              <w:rPr>
                <w:rFonts w:asciiTheme="majorBidi" w:hAnsiTheme="majorBidi" w:cstheme="majorBidi"/>
                <w:color w:val="000000"/>
              </w:rPr>
              <w:t xml:space="preserve"> of the Cabinet Regulation) and the </w:t>
            </w:r>
            <w:r w:rsidRPr="009C5FAE">
              <w:rPr>
                <w:rFonts w:asciiTheme="majorBidi" w:hAnsiTheme="majorBidi" w:cstheme="majorBidi"/>
              </w:rPr>
              <w:t>role and complementarity of the cooperation partners of the platform in achieving the goal and objectives of the platform, including demonstrating the involvement of the Latvian industry in the activities of the platform. At the same time, it demonstrates relevance to the long-term goals and objectives of the State research programme “Innovation Fund – Long-term Research Programme”.</w:t>
            </w:r>
            <w:r w:rsidRPr="009C5FAE">
              <w:rPr>
                <w:rFonts w:asciiTheme="majorBidi" w:hAnsiTheme="majorBidi" w:cstheme="majorBidi"/>
                <w:sz w:val="20"/>
              </w:rPr>
              <w:t xml:space="preserve"> </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rPr>
            </w:pPr>
            <w:r w:rsidRPr="009C5FAE">
              <w:rPr>
                <w:rFonts w:asciiTheme="majorBidi" w:hAnsiTheme="majorBidi" w:cstheme="majorBidi"/>
              </w:rPr>
              <w:t>1.2 A roadmap of the objectives and outcomes of the platform, consistent with the goals and objectives of the platform and the long-term programme “Innovation Fund – Long-term Research Programme”.</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spacing w:after="0" w:line="240" w:lineRule="auto"/>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29"/>
        </w:trPr>
        <w:tc>
          <w:tcPr>
            <w:tcW w:w="9350" w:type="dxa"/>
            <w:shd w:val="clear" w:color="auto" w:fill="auto"/>
          </w:tcPr>
          <w:p w:rsidR="00022835" w:rsidRPr="009C5FAE" w:rsidRDefault="00022835" w:rsidP="00022835">
            <w:pPr>
              <w:spacing w:after="0" w:line="240" w:lineRule="auto"/>
              <w:rPr>
                <w:rFonts w:asciiTheme="majorBidi" w:hAnsiTheme="majorBidi" w:cstheme="majorBidi"/>
              </w:rPr>
            </w:pPr>
            <w:r w:rsidRPr="009C5FAE">
              <w:rPr>
                <w:rFonts w:asciiTheme="majorBidi" w:hAnsiTheme="majorBidi" w:cstheme="majorBidi"/>
              </w:rPr>
              <w:t>1.3 The scientific and innovative quality of the activities envisaged under the platform, including the justification of the methodology used and the relevance to the objectives pursued.</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29"/>
        </w:trPr>
        <w:tc>
          <w:tcPr>
            <w:tcW w:w="9350" w:type="dxa"/>
            <w:shd w:val="clear" w:color="auto" w:fill="auto"/>
          </w:tcPr>
          <w:p w:rsidR="00022835" w:rsidRPr="009C5FAE" w:rsidRDefault="00022835" w:rsidP="00022835">
            <w:pPr>
              <w:spacing w:after="0" w:line="240" w:lineRule="auto"/>
              <w:rPr>
                <w:rFonts w:asciiTheme="majorBidi" w:hAnsiTheme="majorBidi" w:cstheme="majorBidi"/>
              </w:rPr>
            </w:pPr>
            <w:r w:rsidRPr="009C5FAE">
              <w:rPr>
                <w:rFonts w:asciiTheme="majorBidi" w:hAnsiTheme="majorBidi" w:cstheme="majorBidi"/>
              </w:rPr>
              <w:t>1.4 Scientific quality of the Smart Specialisation Strategy areas “</w:t>
            </w:r>
            <w:bookmarkStart w:id="3" w:name="_Int_5zbGgYdy"/>
            <w:r w:rsidRPr="009C5FAE">
              <w:rPr>
                <w:rFonts w:asciiTheme="majorBidi" w:hAnsiTheme="majorBidi" w:cstheme="majorBidi"/>
              </w:rPr>
              <w:t>Biomedicine</w:t>
            </w:r>
            <w:bookmarkEnd w:id="3"/>
            <w:r w:rsidRPr="009C5FAE">
              <w:rPr>
                <w:rFonts w:asciiTheme="majorBidi" w:hAnsiTheme="majorBidi" w:cstheme="majorBidi"/>
              </w:rPr>
              <w:t xml:space="preserve">, Medical Technologies and Pharmaceuticals” and “Photonics and Smart Materials, Technologies and </w:t>
            </w:r>
            <w:bookmarkStart w:id="4" w:name="_Int_WD92YuU3"/>
            <w:r w:rsidRPr="009C5FAE">
              <w:rPr>
                <w:rFonts w:asciiTheme="majorBidi" w:hAnsiTheme="majorBidi" w:cstheme="majorBidi"/>
              </w:rPr>
              <w:t>Engineering Systems</w:t>
            </w:r>
            <w:bookmarkEnd w:id="4"/>
            <w:r w:rsidRPr="009C5FAE">
              <w:rPr>
                <w:rFonts w:asciiTheme="majorBidi" w:hAnsiTheme="majorBidi" w:cstheme="majorBidi"/>
              </w:rPr>
              <w:t xml:space="preserve">” and the capacity thereof to generate new knowledge and innovation within the scope of the platform, including an assessment of the </w:t>
            </w:r>
            <w:proofErr w:type="spellStart"/>
            <w:r w:rsidRPr="009C5FAE">
              <w:rPr>
                <w:rFonts w:asciiTheme="majorBidi" w:hAnsiTheme="majorBidi" w:cstheme="majorBidi"/>
              </w:rPr>
              <w:t>interdisciplinarity</w:t>
            </w:r>
            <w:proofErr w:type="spellEnd"/>
            <w:r w:rsidRPr="009C5FAE">
              <w:rPr>
                <w:rFonts w:asciiTheme="majorBidi" w:hAnsiTheme="majorBidi" w:cstheme="majorBidi"/>
              </w:rPr>
              <w:t xml:space="preserve"> and novelty of the research paths of the platform.</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29"/>
        </w:trPr>
        <w:tc>
          <w:tcPr>
            <w:tcW w:w="9350" w:type="dxa"/>
            <w:shd w:val="clear" w:color="auto" w:fill="auto"/>
          </w:tcPr>
          <w:p w:rsidR="00022835" w:rsidRPr="009C5FAE" w:rsidRDefault="00022835" w:rsidP="00022835">
            <w:pPr>
              <w:spacing w:after="0" w:line="240" w:lineRule="auto"/>
              <w:rPr>
                <w:rFonts w:asciiTheme="majorBidi" w:hAnsiTheme="majorBidi" w:cstheme="majorBidi"/>
              </w:rPr>
            </w:pPr>
            <w:r w:rsidRPr="009C5FAE">
              <w:rPr>
                <w:rFonts w:asciiTheme="majorBidi" w:hAnsiTheme="majorBidi" w:cstheme="majorBidi"/>
              </w:rPr>
              <w:t>1.5 The contribution, scientific capacity and intended quality of the collaboration of the platform, i.e. the lead partner of the platform, research organisations, including the collaboration partners of the platform (if applicable).</w:t>
            </w:r>
          </w:p>
        </w:tc>
      </w:tr>
      <w:tr w:rsidR="00022835" w:rsidRPr="009C5FAE" w:rsidTr="00022835">
        <w:trPr>
          <w:trHeight w:val="134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lastRenderedPageBreak/>
              <w:t>Description</w:t>
            </w:r>
          </w:p>
          <w:p w:rsidR="00022835" w:rsidRPr="009C5FAE" w:rsidRDefault="00022835" w:rsidP="00022835">
            <w:pPr>
              <w:spacing w:after="0" w:line="240" w:lineRule="auto"/>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b/>
          <w:color w:val="000000"/>
        </w:rPr>
      </w:pPr>
    </w:p>
    <w:p w:rsidR="00022835" w:rsidRPr="009C5FAE" w:rsidRDefault="00022835" w:rsidP="00022835">
      <w:pPr>
        <w:spacing w:after="0" w:line="240" w:lineRule="auto"/>
        <w:rPr>
          <w:rFonts w:asciiTheme="majorBidi" w:hAnsiTheme="majorBidi" w:cstheme="majorBidi"/>
          <w:b/>
          <w:color w:val="000000"/>
        </w:rPr>
      </w:pPr>
      <w:r w:rsidRPr="009C5FAE">
        <w:rPr>
          <w:rFonts w:asciiTheme="majorBidi" w:hAnsiTheme="majorBidi" w:cstheme="majorBidi"/>
          <w:b/>
          <w:color w:val="000000"/>
        </w:rPr>
        <w:t xml:space="preserve">2 Impact in accordance with </w:t>
      </w:r>
      <w:r w:rsidRPr="009C5FAE">
        <w:rPr>
          <w:rFonts w:asciiTheme="majorBidi" w:hAnsiTheme="majorBidi" w:cstheme="majorBidi"/>
          <w:b/>
          <w:color w:val="414142"/>
          <w:shd w:val="clear" w:color="auto" w:fill="FFFFFF"/>
        </w:rPr>
        <w:t>Sub-paragraph 69.</w:t>
      </w:r>
      <w:r w:rsidRPr="009C5FAE">
        <w:rPr>
          <w:rFonts w:asciiTheme="majorBidi" w:hAnsiTheme="majorBidi" w:cstheme="majorBidi"/>
          <w:b/>
          <w:color w:val="414142"/>
          <w:shd w:val="clear" w:color="auto" w:fill="FFFFFF"/>
          <w:vertAlign w:val="superscript"/>
        </w:rPr>
        <w:t>18</w:t>
      </w:r>
      <w:r w:rsidRPr="009C5FAE">
        <w:rPr>
          <w:rFonts w:asciiTheme="majorBidi" w:hAnsiTheme="majorBidi" w:cstheme="majorBidi"/>
          <w:b/>
          <w:color w:val="414142"/>
          <w:shd w:val="clear" w:color="auto" w:fill="FFFFFF"/>
        </w:rPr>
        <w:t>5</w:t>
      </w:r>
      <w:r w:rsidRPr="009C5FAE">
        <w:rPr>
          <w:rFonts w:asciiTheme="majorBidi" w:hAnsiTheme="majorBidi" w:cstheme="majorBidi"/>
          <w:b/>
        </w:rPr>
        <w:t xml:space="preserve"> of the Cabinet Regulation.</w:t>
      </w:r>
      <w:r w:rsidRPr="009C5FAE">
        <w:rPr>
          <w:rFonts w:asciiTheme="majorBidi" w:hAnsiTheme="majorBidi" w:cstheme="majorBidi"/>
          <w:color w:val="414142"/>
          <w:sz w:val="20"/>
          <w:shd w:val="clear" w:color="auto" w:fill="FFFFFF"/>
        </w:rPr>
        <w:t xml:space="preserve"> </w:t>
      </w:r>
    </w:p>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414142"/>
                <w:szCs w:val="24"/>
              </w:rPr>
            </w:pPr>
            <w:r w:rsidRPr="009C5FAE">
              <w:rPr>
                <w:rFonts w:asciiTheme="majorBidi" w:hAnsiTheme="majorBidi" w:cstheme="majorBidi"/>
                <w:color w:val="000000"/>
              </w:rPr>
              <w:t xml:space="preserve">2.1 Overview of </w:t>
            </w:r>
            <w:r w:rsidRPr="009C5FAE">
              <w:rPr>
                <w:rFonts w:asciiTheme="majorBidi" w:hAnsiTheme="majorBidi" w:cstheme="majorBidi"/>
                <w:color w:val="414142"/>
              </w:rPr>
              <w:t>the credibility of the expected outcomes, their impact and the means for achievement thereof within the scope of the platform, and also the potential scale and significance of the contribution of the platform, including the relevance and quality of the activities identified under the platform to maximise the expected outcomes and impacts.</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szCs w:val="24"/>
              </w:rPr>
            </w:pPr>
            <w:r w:rsidRPr="009C5FAE">
              <w:rPr>
                <w:rFonts w:asciiTheme="majorBidi" w:hAnsiTheme="majorBidi" w:cstheme="majorBidi"/>
                <w:color w:val="000000"/>
              </w:rPr>
              <w:t>Description</w:t>
            </w:r>
          </w:p>
          <w:p w:rsidR="00022835" w:rsidRPr="009C5FAE" w:rsidRDefault="00022835" w:rsidP="00022835">
            <w:pPr>
              <w:pStyle w:val="tv213"/>
              <w:shd w:val="clear" w:color="auto" w:fill="FFFFFF"/>
              <w:spacing w:before="0" w:beforeAutospacing="0" w:after="0" w:afterAutospacing="0" w:line="293" w:lineRule="atLeast"/>
              <w:ind w:left="900"/>
              <w:jc w:val="both"/>
              <w:rPr>
                <w:rFonts w:asciiTheme="majorBidi" w:hAnsiTheme="majorBidi" w:cstheme="majorBidi"/>
                <w:color w:val="414142"/>
              </w:rPr>
            </w:pPr>
          </w:p>
          <w:p w:rsidR="00022835" w:rsidRPr="009C5FAE" w:rsidRDefault="00022835" w:rsidP="00022835">
            <w:pPr>
              <w:pStyle w:val="tv213"/>
              <w:shd w:val="clear" w:color="auto" w:fill="FFFFFF"/>
              <w:spacing w:before="0" w:beforeAutospacing="0" w:after="0" w:afterAutospacing="0" w:line="293" w:lineRule="atLeast"/>
              <w:ind w:left="900"/>
              <w:jc w:val="both"/>
              <w:rPr>
                <w:rFonts w:asciiTheme="majorBidi" w:hAnsiTheme="majorBidi" w:cstheme="majorBidi"/>
                <w:color w:val="414142"/>
              </w:rPr>
            </w:pPr>
          </w:p>
        </w:tc>
      </w:tr>
    </w:tbl>
    <w:p w:rsidR="00022835" w:rsidRPr="009C5FAE" w:rsidRDefault="00022835" w:rsidP="00022835">
      <w:pPr>
        <w:spacing w:after="0" w:line="240" w:lineRule="auto"/>
        <w:rPr>
          <w:rFonts w:asciiTheme="majorBidi" w:hAnsiTheme="majorBidi" w:cstheme="majorBid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414142"/>
              </w:rPr>
            </w:pPr>
            <w:r w:rsidRPr="009C5FAE">
              <w:rPr>
                <w:rFonts w:asciiTheme="majorBidi" w:hAnsiTheme="majorBidi" w:cstheme="majorBidi"/>
              </w:rPr>
              <w:t xml:space="preserve">2.2 </w:t>
            </w:r>
            <w:r w:rsidRPr="009C5FAE">
              <w:rPr>
                <w:rFonts w:asciiTheme="majorBidi" w:hAnsiTheme="majorBidi" w:cstheme="majorBidi"/>
                <w:color w:val="000000"/>
              </w:rPr>
              <w:t>Action plan for the dissemination and use of the knowledge gained and innovations developed</w:t>
            </w:r>
            <w:r w:rsidRPr="009C5FAE">
              <w:rPr>
                <w:rFonts w:asciiTheme="majorBidi" w:hAnsiTheme="majorBidi" w:cstheme="majorBidi"/>
              </w:rPr>
              <w:t xml:space="preserve">, including demonstration of potential </w:t>
            </w:r>
            <w:bookmarkStart w:id="5" w:name="_Int_NpGvoqRh"/>
            <w:r w:rsidRPr="009C5FAE">
              <w:rPr>
                <w:rFonts w:asciiTheme="majorBidi" w:hAnsiTheme="majorBidi" w:cstheme="majorBidi"/>
              </w:rPr>
              <w:t>commercialisation</w:t>
            </w:r>
            <w:bookmarkEnd w:id="5"/>
            <w:r w:rsidRPr="009C5FAE">
              <w:rPr>
                <w:rFonts w:asciiTheme="majorBidi" w:hAnsiTheme="majorBidi" w:cstheme="majorBidi"/>
              </w:rPr>
              <w:t xml:space="preserve"> cooperation with the Latvian industry. </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szCs w:val="24"/>
              </w:rPr>
            </w:pPr>
            <w:r w:rsidRPr="009C5FAE">
              <w:rPr>
                <w:rFonts w:asciiTheme="majorBidi" w:hAnsiTheme="majorBidi" w:cstheme="majorBidi"/>
                <w:color w:val="000000"/>
              </w:rPr>
              <w:t>Description</w:t>
            </w:r>
          </w:p>
        </w:tc>
      </w:tr>
    </w:tbl>
    <w:p w:rsidR="00022835" w:rsidRPr="009C5FAE" w:rsidRDefault="00022835" w:rsidP="00022835">
      <w:pPr>
        <w:spacing w:after="0" w:line="240" w:lineRule="auto"/>
        <w:rPr>
          <w:rFonts w:asciiTheme="majorBidi" w:hAnsiTheme="majorBidi" w:cstheme="majorBid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2.3 The communication plan of the platform to raise awareness of the activities of the platform and the results achieved within the scope thereof for the purpose of explaining the potential contribution to the society and economy from the projects implemented in the Smart Specialisation Strategy areas “</w:t>
            </w:r>
            <w:bookmarkStart w:id="6" w:name="_Int_jTvOqcuM"/>
            <w:r w:rsidRPr="009C5FAE">
              <w:rPr>
                <w:rFonts w:asciiTheme="majorBidi" w:hAnsiTheme="majorBidi" w:cstheme="majorBidi"/>
                <w:color w:val="000000"/>
              </w:rPr>
              <w:t>Biomedicine</w:t>
            </w:r>
            <w:bookmarkEnd w:id="6"/>
            <w:r w:rsidRPr="009C5FAE">
              <w:rPr>
                <w:rFonts w:asciiTheme="majorBidi" w:hAnsiTheme="majorBidi" w:cstheme="majorBidi"/>
                <w:color w:val="000000"/>
              </w:rPr>
              <w:t xml:space="preserve">, Medical Technologies and Pharmaceuticals” and “Photonics and Smart Materials, Technologies and </w:t>
            </w:r>
            <w:bookmarkStart w:id="7" w:name="_Int_XHd8Nwzj"/>
            <w:r w:rsidRPr="009C5FAE">
              <w:rPr>
                <w:rFonts w:asciiTheme="majorBidi" w:hAnsiTheme="majorBidi" w:cstheme="majorBidi"/>
                <w:color w:val="000000"/>
              </w:rPr>
              <w:t>Engineering Systems</w:t>
            </w:r>
            <w:bookmarkEnd w:id="7"/>
            <w:r w:rsidRPr="009C5FAE">
              <w:rPr>
                <w:rFonts w:asciiTheme="majorBidi" w:hAnsiTheme="majorBidi" w:cstheme="majorBidi"/>
                <w:color w:val="000000"/>
              </w:rPr>
              <w:t xml:space="preserve">”. </w:t>
            </w:r>
          </w:p>
        </w:tc>
      </w:tr>
      <w:tr w:rsidR="00022835" w:rsidRPr="009C5FAE" w:rsidTr="00022835">
        <w:trPr>
          <w:trHeight w:val="1275"/>
        </w:trPr>
        <w:tc>
          <w:tcPr>
            <w:tcW w:w="9350" w:type="dxa"/>
            <w:shd w:val="clear" w:color="auto" w:fill="auto"/>
          </w:tcPr>
          <w:p w:rsidR="00022835" w:rsidRPr="009C5FAE" w:rsidRDefault="00022835" w:rsidP="00022835">
            <w:pPr>
              <w:spacing w:after="0" w:line="240" w:lineRule="auto"/>
              <w:rPr>
                <w:rFonts w:asciiTheme="majorBidi" w:hAnsiTheme="majorBidi" w:cstheme="majorBidi"/>
                <w:strike/>
                <w:color w:val="FF0000"/>
              </w:rPr>
            </w:pPr>
            <w:r w:rsidRPr="009C5FAE">
              <w:rPr>
                <w:rFonts w:asciiTheme="majorBidi" w:hAnsiTheme="majorBidi" w:cstheme="majorBidi"/>
                <w:color w:val="000000"/>
              </w:rPr>
              <w:t>Description</w:t>
            </w:r>
          </w:p>
        </w:tc>
      </w:tr>
    </w:tbl>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414142"/>
          <w:sz w:val="20"/>
          <w:szCs w:val="20"/>
          <w:shd w:val="clear" w:color="auto" w:fill="FFFFFF"/>
        </w:rPr>
      </w:pPr>
      <w:r w:rsidRPr="009C5FAE">
        <w:rPr>
          <w:rFonts w:asciiTheme="majorBidi" w:hAnsiTheme="majorBidi" w:cstheme="majorBidi"/>
          <w:b/>
          <w:color w:val="000000"/>
        </w:rPr>
        <w:t>3 Implementation in accordance with</w:t>
      </w:r>
      <w:r w:rsidRPr="009C5FAE">
        <w:rPr>
          <w:rFonts w:asciiTheme="majorBidi" w:hAnsiTheme="majorBidi" w:cstheme="majorBidi"/>
          <w:b/>
        </w:rPr>
        <w:t xml:space="preserve"> </w:t>
      </w:r>
      <w:r w:rsidRPr="009C5FAE">
        <w:rPr>
          <w:rFonts w:asciiTheme="majorBidi" w:hAnsiTheme="majorBidi" w:cstheme="majorBidi"/>
          <w:b/>
          <w:color w:val="414142"/>
          <w:shd w:val="clear" w:color="auto" w:fill="FFFFFF"/>
        </w:rPr>
        <w:t>Sub-paragraph 69.</w:t>
      </w:r>
      <w:r w:rsidRPr="009C5FAE">
        <w:rPr>
          <w:rFonts w:asciiTheme="majorBidi" w:hAnsiTheme="majorBidi" w:cstheme="majorBidi"/>
          <w:b/>
          <w:color w:val="414142"/>
          <w:shd w:val="clear" w:color="auto" w:fill="FFFFFF"/>
          <w:vertAlign w:val="superscript"/>
        </w:rPr>
        <w:t>18</w:t>
      </w:r>
      <w:r w:rsidRPr="009C5FAE">
        <w:rPr>
          <w:rFonts w:asciiTheme="majorBidi" w:hAnsiTheme="majorBidi" w:cstheme="majorBidi"/>
          <w:b/>
          <w:color w:val="414142"/>
          <w:shd w:val="clear" w:color="auto" w:fill="FFFFFF"/>
        </w:rPr>
        <w:t>6</w:t>
      </w:r>
      <w:r w:rsidRPr="009C5FAE">
        <w:rPr>
          <w:rFonts w:asciiTheme="majorBidi" w:hAnsiTheme="majorBidi" w:cstheme="majorBidi"/>
          <w:b/>
        </w:rPr>
        <w:t xml:space="preserve"> of the Cabinet Regulation.</w:t>
      </w:r>
      <w:r w:rsidRPr="009C5FAE">
        <w:rPr>
          <w:rFonts w:asciiTheme="majorBidi" w:hAnsiTheme="majorBidi" w:cstheme="majorBidi"/>
          <w:color w:val="414142"/>
          <w:sz w:val="20"/>
          <w:shd w:val="clear" w:color="auto" w:fill="FFFFFF"/>
        </w:rPr>
        <w:t xml:space="preserve"> </w:t>
      </w:r>
    </w:p>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3.1 The work plan, planned work stages and tasks of the platform.</w:t>
            </w:r>
          </w:p>
        </w:tc>
      </w:tr>
      <w:tr w:rsidR="00022835" w:rsidRPr="009C5FAE" w:rsidTr="00022835">
        <w:trPr>
          <w:trHeight w:val="84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pStyle w:val="tv213"/>
              <w:shd w:val="clear" w:color="auto" w:fill="FFFFFF"/>
              <w:spacing w:before="0" w:beforeAutospacing="0" w:after="0" w:afterAutospacing="0" w:line="293" w:lineRule="atLeast"/>
              <w:jc w:val="both"/>
              <w:rPr>
                <w:rFonts w:asciiTheme="majorBidi" w:hAnsiTheme="majorBidi" w:cstheme="majorBidi"/>
                <w:color w:val="414142"/>
                <w:sz w:val="20"/>
                <w:szCs w:val="20"/>
              </w:rPr>
            </w:pPr>
          </w:p>
        </w:tc>
      </w:tr>
    </w:tbl>
    <w:p w:rsidR="00022835" w:rsidRPr="009C5FAE" w:rsidRDefault="00022835" w:rsidP="00022835">
      <w:pPr>
        <w:spacing w:after="0"/>
        <w:rPr>
          <w:rFonts w:asciiTheme="majorBidi" w:hAnsiTheme="majorBidi" w:cstheme="majorBidi"/>
          <w:vanish/>
        </w:rPr>
      </w:pP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 xml:space="preserve">3.2 </w:t>
            </w:r>
            <w:r w:rsidRPr="009C5FAE">
              <w:rPr>
                <w:rFonts w:asciiTheme="majorBidi" w:hAnsiTheme="majorBidi" w:cstheme="majorBidi"/>
              </w:rPr>
              <w:t xml:space="preserve"> The capacity and role of the platform, i.e. the lead partner, research organisations, including the collaboration partners of the platform (if applicable), professional qualifications and experience in the field of innovation, and also the experience required for the operation of the platform; the infrastructure and resources available for the operation of the platform.</w:t>
            </w:r>
          </w:p>
        </w:tc>
      </w:tr>
      <w:tr w:rsidR="00022835" w:rsidRPr="009C5FAE" w:rsidTr="00022835">
        <w:trPr>
          <w:trHeight w:val="577"/>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spacing w:after="0" w:line="240" w:lineRule="auto"/>
              <w:rPr>
                <w:rFonts w:asciiTheme="majorBidi" w:hAnsiTheme="majorBidi" w:cstheme="majorBidi"/>
                <w:color w:val="000000"/>
              </w:rPr>
            </w:pPr>
          </w:p>
          <w:p w:rsidR="00022835" w:rsidRPr="009C5FAE" w:rsidRDefault="00022835" w:rsidP="00022835">
            <w:pPr>
              <w:spacing w:after="0" w:line="240" w:lineRule="auto"/>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2835" w:rsidRPr="009C5FAE" w:rsidTr="00022835">
        <w:trPr>
          <w:trHeight w:val="300"/>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lastRenderedPageBreak/>
              <w:t xml:space="preserve">3.3 Platform management, including quality management, governance and risk plan, and preparation of a plan to prevent conflict of interest, corruption and fraud risks. </w:t>
            </w:r>
          </w:p>
        </w:tc>
      </w:tr>
      <w:tr w:rsidR="00022835" w:rsidRPr="009C5FAE" w:rsidTr="00022835">
        <w:trPr>
          <w:trHeight w:val="696"/>
        </w:trPr>
        <w:tc>
          <w:tcPr>
            <w:tcW w:w="9350"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Description</w:t>
            </w:r>
          </w:p>
          <w:p w:rsidR="00022835" w:rsidRPr="009C5FAE" w:rsidRDefault="00022835" w:rsidP="00022835">
            <w:pPr>
              <w:pStyle w:val="tv213"/>
              <w:shd w:val="clear" w:color="auto" w:fill="FFFFFF"/>
              <w:spacing w:before="0" w:beforeAutospacing="0" w:after="0" w:afterAutospacing="0" w:line="293" w:lineRule="atLeast"/>
              <w:jc w:val="both"/>
              <w:rPr>
                <w:rFonts w:asciiTheme="majorBidi" w:hAnsiTheme="majorBidi" w:cstheme="majorBidi"/>
                <w:color w:val="000000"/>
              </w:rPr>
            </w:pPr>
          </w:p>
        </w:tc>
      </w:tr>
    </w:tbl>
    <w:p w:rsidR="00022835" w:rsidRPr="009C5FAE" w:rsidRDefault="00022835" w:rsidP="00022835">
      <w:pPr>
        <w:spacing w:after="0" w:line="240" w:lineRule="auto"/>
        <w:rPr>
          <w:rFonts w:asciiTheme="majorBidi" w:hAnsiTheme="majorBidi" w:cstheme="majorBid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380"/>
        <w:gridCol w:w="2084"/>
        <w:gridCol w:w="1352"/>
        <w:gridCol w:w="1206"/>
        <w:gridCol w:w="2442"/>
      </w:tblGrid>
      <w:tr w:rsidR="00022835" w:rsidRPr="009C5FAE" w:rsidTr="00022835">
        <w:trPr>
          <w:trHeight w:val="132"/>
        </w:trPr>
        <w:tc>
          <w:tcPr>
            <w:tcW w:w="9962" w:type="dxa"/>
            <w:gridSpan w:val="6"/>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Risk assessment</w:t>
            </w:r>
          </w:p>
        </w:tc>
      </w:tr>
      <w:tr w:rsidR="00022835" w:rsidRPr="009C5FAE" w:rsidTr="00022835">
        <w:trPr>
          <w:trHeight w:val="132"/>
        </w:trPr>
        <w:tc>
          <w:tcPr>
            <w:tcW w:w="556" w:type="dxa"/>
            <w:vMerge w:val="restart"/>
            <w:shd w:val="clear" w:color="auto" w:fill="auto"/>
            <w:vAlign w:val="center"/>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No.</w:t>
            </w:r>
          </w:p>
        </w:tc>
        <w:tc>
          <w:tcPr>
            <w:tcW w:w="1666" w:type="dxa"/>
            <w:vMerge w:val="restart"/>
            <w:shd w:val="clear" w:color="auto" w:fill="auto"/>
            <w:vAlign w:val="center"/>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Risk</w:t>
            </w:r>
          </w:p>
        </w:tc>
        <w:tc>
          <w:tcPr>
            <w:tcW w:w="2419" w:type="dxa"/>
            <w:vMerge w:val="restart"/>
            <w:shd w:val="clear" w:color="auto" w:fill="auto"/>
            <w:vAlign w:val="center"/>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Risk description</w:t>
            </w:r>
          </w:p>
        </w:tc>
        <w:tc>
          <w:tcPr>
            <w:tcW w:w="2759" w:type="dxa"/>
            <w:gridSpan w:val="2"/>
            <w:shd w:val="clear" w:color="auto" w:fill="auto"/>
            <w:vAlign w:val="center"/>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Assessment</w:t>
            </w:r>
          </w:p>
        </w:tc>
        <w:tc>
          <w:tcPr>
            <w:tcW w:w="2562" w:type="dxa"/>
            <w:vMerge w:val="restart"/>
            <w:shd w:val="clear" w:color="auto" w:fill="auto"/>
            <w:vAlign w:val="center"/>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Risk prevention/mitigation measures</w:t>
            </w:r>
          </w:p>
        </w:tc>
      </w:tr>
      <w:tr w:rsidR="00022835" w:rsidRPr="009C5FAE" w:rsidTr="00022835">
        <w:trPr>
          <w:trHeight w:val="131"/>
        </w:trPr>
        <w:tc>
          <w:tcPr>
            <w:tcW w:w="556" w:type="dxa"/>
            <w:vMerge/>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666" w:type="dxa"/>
            <w:vMerge/>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419" w:type="dxa"/>
            <w:vMerge/>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411" w:type="dxa"/>
            <w:shd w:val="clear" w:color="auto" w:fill="auto"/>
            <w:vAlign w:val="center"/>
          </w:tcPr>
          <w:p w:rsidR="00022835" w:rsidRPr="009C5FAE" w:rsidRDefault="00022835" w:rsidP="00022835">
            <w:pPr>
              <w:spacing w:after="0" w:line="240" w:lineRule="auto"/>
              <w:rPr>
                <w:rFonts w:asciiTheme="majorBidi" w:hAnsiTheme="majorBidi" w:cstheme="majorBidi"/>
                <w:color w:val="000000"/>
                <w:szCs w:val="24"/>
              </w:rPr>
            </w:pPr>
            <w:r w:rsidRPr="009C5FAE">
              <w:rPr>
                <w:rFonts w:asciiTheme="majorBidi" w:hAnsiTheme="majorBidi" w:cstheme="majorBidi"/>
                <w:color w:val="000000"/>
              </w:rPr>
              <w:t>Probability</w:t>
            </w:r>
          </w:p>
        </w:tc>
        <w:tc>
          <w:tcPr>
            <w:tcW w:w="1348" w:type="dxa"/>
            <w:shd w:val="clear" w:color="auto" w:fill="auto"/>
            <w:vAlign w:val="center"/>
          </w:tcPr>
          <w:p w:rsidR="00022835" w:rsidRPr="009C5FAE" w:rsidRDefault="00022835" w:rsidP="00022835">
            <w:pPr>
              <w:spacing w:after="0" w:line="240" w:lineRule="auto"/>
              <w:rPr>
                <w:rFonts w:asciiTheme="majorBidi" w:hAnsiTheme="majorBidi" w:cstheme="majorBidi"/>
                <w:color w:val="000000"/>
                <w:szCs w:val="24"/>
              </w:rPr>
            </w:pPr>
            <w:r w:rsidRPr="009C5FAE">
              <w:rPr>
                <w:rFonts w:asciiTheme="majorBidi" w:hAnsiTheme="majorBidi" w:cstheme="majorBidi"/>
                <w:color w:val="000000"/>
              </w:rPr>
              <w:t>Impact</w:t>
            </w:r>
          </w:p>
        </w:tc>
        <w:tc>
          <w:tcPr>
            <w:tcW w:w="2562" w:type="dxa"/>
            <w:vMerge/>
            <w:shd w:val="clear" w:color="auto" w:fill="auto"/>
          </w:tcPr>
          <w:p w:rsidR="00022835" w:rsidRPr="009C5FAE" w:rsidRDefault="00022835" w:rsidP="00022835">
            <w:pPr>
              <w:spacing w:after="0" w:line="240" w:lineRule="auto"/>
              <w:rPr>
                <w:rFonts w:asciiTheme="majorBidi" w:hAnsiTheme="majorBidi" w:cstheme="majorBidi"/>
                <w:color w:val="000000"/>
              </w:rPr>
            </w:pPr>
          </w:p>
        </w:tc>
      </w:tr>
      <w:tr w:rsidR="00022835" w:rsidRPr="009C5FAE" w:rsidTr="00022835">
        <w:trPr>
          <w:trHeight w:val="300"/>
        </w:trPr>
        <w:tc>
          <w:tcPr>
            <w:tcW w:w="556"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1</w:t>
            </w:r>
          </w:p>
        </w:tc>
        <w:tc>
          <w:tcPr>
            <w:tcW w:w="1666"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419"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411"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348"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562" w:type="dxa"/>
            <w:shd w:val="clear" w:color="auto" w:fill="auto"/>
          </w:tcPr>
          <w:p w:rsidR="00022835" w:rsidRPr="009C5FAE" w:rsidRDefault="00022835" w:rsidP="00022835">
            <w:pPr>
              <w:spacing w:after="0" w:line="240" w:lineRule="auto"/>
              <w:rPr>
                <w:rFonts w:asciiTheme="majorBidi" w:hAnsiTheme="majorBidi" w:cstheme="majorBidi"/>
                <w:color w:val="000000"/>
              </w:rPr>
            </w:pPr>
          </w:p>
        </w:tc>
      </w:tr>
      <w:tr w:rsidR="00022835" w:rsidRPr="009C5FAE" w:rsidTr="00022835">
        <w:trPr>
          <w:trHeight w:val="300"/>
        </w:trPr>
        <w:tc>
          <w:tcPr>
            <w:tcW w:w="556"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2</w:t>
            </w:r>
          </w:p>
        </w:tc>
        <w:tc>
          <w:tcPr>
            <w:tcW w:w="1666"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419"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411"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348"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562" w:type="dxa"/>
            <w:shd w:val="clear" w:color="auto" w:fill="auto"/>
          </w:tcPr>
          <w:p w:rsidR="00022835" w:rsidRPr="009C5FAE" w:rsidRDefault="00022835" w:rsidP="00022835">
            <w:pPr>
              <w:spacing w:after="0" w:line="240" w:lineRule="auto"/>
              <w:rPr>
                <w:rFonts w:asciiTheme="majorBidi" w:hAnsiTheme="majorBidi" w:cstheme="majorBidi"/>
                <w:color w:val="000000"/>
              </w:rPr>
            </w:pPr>
          </w:p>
        </w:tc>
      </w:tr>
      <w:tr w:rsidR="00022835" w:rsidRPr="009C5FAE" w:rsidTr="00022835">
        <w:trPr>
          <w:trHeight w:val="300"/>
        </w:trPr>
        <w:tc>
          <w:tcPr>
            <w:tcW w:w="556"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3</w:t>
            </w:r>
          </w:p>
        </w:tc>
        <w:tc>
          <w:tcPr>
            <w:tcW w:w="1666"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419"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411"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348"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562" w:type="dxa"/>
            <w:shd w:val="clear" w:color="auto" w:fill="auto"/>
          </w:tcPr>
          <w:p w:rsidR="00022835" w:rsidRPr="009C5FAE" w:rsidRDefault="00022835" w:rsidP="00022835">
            <w:pPr>
              <w:spacing w:after="0" w:line="240" w:lineRule="auto"/>
              <w:ind w:firstLine="720"/>
              <w:rPr>
                <w:rFonts w:asciiTheme="majorBidi" w:hAnsiTheme="majorBidi" w:cstheme="majorBidi"/>
                <w:color w:val="000000"/>
              </w:rPr>
            </w:pPr>
          </w:p>
        </w:tc>
      </w:tr>
      <w:tr w:rsidR="00022835" w:rsidRPr="009C5FAE" w:rsidTr="00022835">
        <w:trPr>
          <w:trHeight w:val="300"/>
        </w:trPr>
        <w:tc>
          <w:tcPr>
            <w:tcW w:w="556" w:type="dxa"/>
            <w:shd w:val="clear" w:color="auto" w:fill="auto"/>
          </w:tcPr>
          <w:p w:rsidR="00022835" w:rsidRPr="009C5FAE" w:rsidRDefault="00022835" w:rsidP="00022835">
            <w:pPr>
              <w:spacing w:after="0" w:line="240" w:lineRule="auto"/>
              <w:rPr>
                <w:rFonts w:asciiTheme="majorBidi" w:hAnsiTheme="majorBidi" w:cstheme="majorBidi"/>
                <w:color w:val="000000"/>
              </w:rPr>
            </w:pPr>
            <w:r w:rsidRPr="009C5FAE">
              <w:rPr>
                <w:rFonts w:asciiTheme="majorBidi" w:hAnsiTheme="majorBidi" w:cstheme="majorBidi"/>
                <w:color w:val="000000"/>
              </w:rPr>
              <w:t>n</w:t>
            </w:r>
          </w:p>
        </w:tc>
        <w:tc>
          <w:tcPr>
            <w:tcW w:w="1666"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419"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411"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1348" w:type="dxa"/>
            <w:shd w:val="clear" w:color="auto" w:fill="auto"/>
          </w:tcPr>
          <w:p w:rsidR="00022835" w:rsidRPr="009C5FAE" w:rsidRDefault="00022835" w:rsidP="00022835">
            <w:pPr>
              <w:spacing w:after="0" w:line="240" w:lineRule="auto"/>
              <w:rPr>
                <w:rFonts w:asciiTheme="majorBidi" w:hAnsiTheme="majorBidi" w:cstheme="majorBidi"/>
                <w:color w:val="000000"/>
              </w:rPr>
            </w:pPr>
          </w:p>
        </w:tc>
        <w:tc>
          <w:tcPr>
            <w:tcW w:w="2562" w:type="dxa"/>
            <w:shd w:val="clear" w:color="auto" w:fill="auto"/>
          </w:tcPr>
          <w:p w:rsidR="00022835" w:rsidRPr="009C5FAE" w:rsidRDefault="00022835" w:rsidP="00022835">
            <w:pPr>
              <w:spacing w:after="0" w:line="240" w:lineRule="auto"/>
              <w:ind w:firstLine="720"/>
              <w:rPr>
                <w:rFonts w:asciiTheme="majorBidi" w:hAnsiTheme="majorBidi" w:cstheme="majorBidi"/>
                <w:color w:val="000000"/>
              </w:rPr>
            </w:pPr>
          </w:p>
        </w:tc>
      </w:tr>
    </w:tbl>
    <w:p w:rsidR="00022835" w:rsidRPr="009C5FAE" w:rsidRDefault="00022835" w:rsidP="00022835">
      <w:pPr>
        <w:rPr>
          <w:rFonts w:asciiTheme="majorBidi" w:hAnsiTheme="majorBidi" w:cstheme="majorBidi"/>
          <w:color w:val="000000"/>
        </w:rPr>
      </w:pPr>
    </w:p>
    <w:bookmarkEnd w:id="2"/>
    <w:p w:rsidR="007B459E" w:rsidRPr="009C5FAE" w:rsidRDefault="007B459E">
      <w:pPr>
        <w:rPr>
          <w:rFonts w:asciiTheme="majorBidi" w:hAnsiTheme="majorBidi" w:cstheme="majorBidi"/>
        </w:rPr>
      </w:pPr>
    </w:p>
    <w:sectPr w:rsidR="007B459E" w:rsidRPr="009C5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35"/>
    <w:rsid w:val="00022835"/>
    <w:rsid w:val="00502112"/>
    <w:rsid w:val="007B459E"/>
    <w:rsid w:val="008A2D2B"/>
    <w:rsid w:val="009C5FAE"/>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0AFF-82BE-45E8-8E59-440184D7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autoRedefine/>
    <w:qFormat/>
    <w:rsid w:val="00022835"/>
    <w:pPr>
      <w:keepNext/>
      <w:spacing w:after="0" w:line="240" w:lineRule="auto"/>
      <w:jc w:val="center"/>
      <w:outlineLvl w:val="0"/>
    </w:pPr>
    <w:rPr>
      <w:rFonts w:ascii="Times New Roman" w:eastAsia="Times New Roman" w:hAnsi="Times New Roman" w:cs="Arial"/>
      <w:bCs/>
      <w:kern w:val="32"/>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2835"/>
    <w:rPr>
      <w:rFonts w:ascii="Times New Roman" w:eastAsia="Times New Roman" w:hAnsi="Times New Roman" w:cs="Arial"/>
      <w:bCs/>
      <w:kern w:val="32"/>
      <w:sz w:val="28"/>
      <w:szCs w:val="28"/>
      <w:lang w:val="en-GB" w:eastAsia="en-US" w:bidi="en-US"/>
    </w:rPr>
  </w:style>
  <w:style w:type="table" w:styleId="TableGrid">
    <w:name w:val="Table Grid"/>
    <w:basedOn w:val="TableNormal"/>
    <w:uiPriority w:val="39"/>
    <w:rsid w:val="00022835"/>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2283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2417</Words>
  <Characters>1378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Rusmane</dc:creator>
  <cp:keywords/>
  <dc:description/>
  <cp:lastModifiedBy>Review</cp:lastModifiedBy>
  <cp:revision>3</cp:revision>
  <dcterms:created xsi:type="dcterms:W3CDTF">2024-08-07T10:19:00Z</dcterms:created>
  <dcterms:modified xsi:type="dcterms:W3CDTF">2024-08-14T06:22:00Z</dcterms:modified>
</cp:coreProperties>
</file>